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67F27D" w14:textId="134085EF" w:rsidR="00C5658C" w:rsidRPr="005263F6" w:rsidRDefault="00C5658C" w:rsidP="00C5658C">
      <w:pPr>
        <w:autoSpaceDE w:val="0"/>
        <w:autoSpaceDN w:val="0"/>
        <w:adjustRightInd w:val="0"/>
        <w:spacing w:line="360" w:lineRule="auto"/>
        <w:rPr>
          <w:rFonts w:eastAsiaTheme="minorEastAsia"/>
          <w:sz w:val="24"/>
        </w:rPr>
      </w:pPr>
      <w:r w:rsidRPr="005263F6">
        <w:rPr>
          <w:rFonts w:eastAsiaTheme="minorEastAsia"/>
          <w:sz w:val="24"/>
        </w:rPr>
        <w:t>证券代码：</w:t>
      </w:r>
      <w:r w:rsidRPr="005263F6">
        <w:rPr>
          <w:rFonts w:eastAsiaTheme="minorEastAsia"/>
          <w:sz w:val="24"/>
        </w:rPr>
        <w:t xml:space="preserve">300511           </w:t>
      </w:r>
      <w:r w:rsidRPr="005263F6">
        <w:rPr>
          <w:rFonts w:eastAsiaTheme="minorEastAsia"/>
          <w:sz w:val="24"/>
        </w:rPr>
        <w:t>证券简称：雪榕生物</w:t>
      </w:r>
      <w:r w:rsidR="00636F2A" w:rsidRPr="005263F6">
        <w:rPr>
          <w:rFonts w:eastAsiaTheme="minorEastAsia"/>
          <w:sz w:val="24"/>
        </w:rPr>
        <w:t xml:space="preserve">      </w:t>
      </w:r>
      <w:r w:rsidRPr="005263F6">
        <w:rPr>
          <w:rFonts w:eastAsiaTheme="minorEastAsia"/>
          <w:sz w:val="24"/>
        </w:rPr>
        <w:t>公告编号：</w:t>
      </w:r>
      <w:r w:rsidR="00D06DD4" w:rsidRPr="005263F6">
        <w:rPr>
          <w:rFonts w:eastAsiaTheme="minorEastAsia"/>
          <w:sz w:val="24"/>
        </w:rPr>
        <w:t>20</w:t>
      </w:r>
      <w:r w:rsidR="006C6E64" w:rsidRPr="005263F6">
        <w:rPr>
          <w:rFonts w:eastAsiaTheme="minorEastAsia"/>
          <w:sz w:val="24"/>
        </w:rPr>
        <w:t>20</w:t>
      </w:r>
      <w:r w:rsidRPr="005263F6">
        <w:rPr>
          <w:rFonts w:eastAsiaTheme="minorEastAsia"/>
          <w:sz w:val="24"/>
        </w:rPr>
        <w:t>-</w:t>
      </w:r>
      <w:r w:rsidR="006448B4" w:rsidRPr="005263F6">
        <w:rPr>
          <w:rFonts w:eastAsiaTheme="minorEastAsia"/>
          <w:sz w:val="24"/>
        </w:rPr>
        <w:t>07</w:t>
      </w:r>
      <w:r w:rsidR="00D37125">
        <w:rPr>
          <w:rFonts w:eastAsiaTheme="minorEastAsia" w:hint="eastAsia"/>
          <w:sz w:val="24"/>
        </w:rPr>
        <w:t>8</w:t>
      </w:r>
    </w:p>
    <w:p w14:paraId="67CE5583" w14:textId="77777777" w:rsidR="0077148D" w:rsidRPr="005263F6" w:rsidRDefault="00C5658C" w:rsidP="00C036F6">
      <w:pPr>
        <w:snapToGrid w:val="0"/>
        <w:spacing w:beforeLines="50" w:before="156" w:line="360" w:lineRule="auto"/>
        <w:jc w:val="center"/>
        <w:rPr>
          <w:rFonts w:eastAsiaTheme="minorEastAsia"/>
          <w:b/>
          <w:bCs/>
          <w:sz w:val="28"/>
          <w:szCs w:val="28"/>
        </w:rPr>
      </w:pPr>
      <w:r w:rsidRPr="005263F6">
        <w:rPr>
          <w:rFonts w:eastAsiaTheme="minorEastAsia"/>
          <w:b/>
          <w:bCs/>
          <w:sz w:val="28"/>
          <w:szCs w:val="28"/>
        </w:rPr>
        <w:t>上海雪榕生物科技股份有限公司</w:t>
      </w:r>
    </w:p>
    <w:p w14:paraId="71B373F4" w14:textId="3811B44C" w:rsidR="00C5658C" w:rsidRPr="005263F6" w:rsidRDefault="006C6E64" w:rsidP="0077148D">
      <w:pPr>
        <w:snapToGrid w:val="0"/>
        <w:spacing w:line="360" w:lineRule="auto"/>
        <w:jc w:val="center"/>
        <w:rPr>
          <w:rFonts w:eastAsiaTheme="minorEastAsia"/>
          <w:b/>
          <w:bCs/>
          <w:sz w:val="28"/>
          <w:szCs w:val="28"/>
        </w:rPr>
      </w:pPr>
      <w:r w:rsidRPr="005263F6">
        <w:rPr>
          <w:rFonts w:eastAsiaTheme="minorEastAsia"/>
          <w:b/>
          <w:bCs/>
          <w:sz w:val="28"/>
          <w:szCs w:val="28"/>
        </w:rPr>
        <w:t>关于</w:t>
      </w:r>
      <w:r w:rsidR="00F07D04" w:rsidRPr="00F07D04">
        <w:rPr>
          <w:rFonts w:eastAsiaTheme="minorEastAsia" w:hint="eastAsia"/>
          <w:b/>
          <w:bCs/>
          <w:sz w:val="28"/>
          <w:szCs w:val="28"/>
        </w:rPr>
        <w:t>签署</w:t>
      </w:r>
      <w:r w:rsidR="00F07D04">
        <w:rPr>
          <w:rFonts w:eastAsiaTheme="minorEastAsia" w:hint="eastAsia"/>
          <w:b/>
          <w:bCs/>
          <w:sz w:val="28"/>
          <w:szCs w:val="28"/>
        </w:rPr>
        <w:t>投资</w:t>
      </w:r>
      <w:r w:rsidR="009962FD">
        <w:rPr>
          <w:rFonts w:eastAsiaTheme="minorEastAsia" w:hint="eastAsia"/>
          <w:b/>
          <w:bCs/>
          <w:sz w:val="28"/>
          <w:szCs w:val="28"/>
        </w:rPr>
        <w:t>协议</w:t>
      </w:r>
      <w:r w:rsidR="00F07D04" w:rsidRPr="00F07D04">
        <w:rPr>
          <w:rFonts w:eastAsiaTheme="minorEastAsia" w:hint="eastAsia"/>
          <w:b/>
          <w:bCs/>
          <w:sz w:val="28"/>
          <w:szCs w:val="28"/>
        </w:rPr>
        <w:t>暨设立合资公司的公告</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5263F6" w:rsidRPr="005263F6" w14:paraId="655536E8" w14:textId="77777777" w:rsidTr="00F44830">
        <w:trPr>
          <w:trHeight w:val="1107"/>
          <w:jc w:val="center"/>
        </w:trPr>
        <w:tc>
          <w:tcPr>
            <w:tcW w:w="8296" w:type="dxa"/>
            <w:tcBorders>
              <w:top w:val="single" w:sz="4" w:space="0" w:color="auto"/>
              <w:left w:val="single" w:sz="4" w:space="0" w:color="auto"/>
              <w:bottom w:val="single" w:sz="4" w:space="0" w:color="auto"/>
              <w:right w:val="single" w:sz="4" w:space="0" w:color="auto"/>
            </w:tcBorders>
          </w:tcPr>
          <w:p w14:paraId="0C745107" w14:textId="77777777" w:rsidR="00C5658C" w:rsidRPr="005263F6" w:rsidRDefault="00C5658C" w:rsidP="00C036F6">
            <w:pPr>
              <w:autoSpaceDE w:val="0"/>
              <w:autoSpaceDN w:val="0"/>
              <w:adjustRightInd w:val="0"/>
              <w:spacing w:beforeLines="50" w:before="156" w:afterLines="50" w:after="156" w:line="360" w:lineRule="auto"/>
              <w:ind w:firstLineChars="200" w:firstLine="480"/>
              <w:rPr>
                <w:rFonts w:eastAsiaTheme="minorEastAsia"/>
                <w:kern w:val="0"/>
                <w:sz w:val="24"/>
              </w:rPr>
            </w:pPr>
            <w:r w:rsidRPr="005263F6">
              <w:rPr>
                <w:rFonts w:eastAsiaTheme="minorEastAsia"/>
                <w:kern w:val="0"/>
                <w:sz w:val="24"/>
              </w:rPr>
              <w:t>本公司及董事会全体成员保证信息披露内容的真实、准确和完整，没有虚假记载、误导性陈述或重大遗漏。</w:t>
            </w:r>
          </w:p>
        </w:tc>
      </w:tr>
    </w:tbl>
    <w:p w14:paraId="13E02226" w14:textId="1F37AF0D" w:rsidR="00F44830" w:rsidRPr="00F44830" w:rsidRDefault="00F44830" w:rsidP="00F44830">
      <w:pPr>
        <w:spacing w:beforeLines="50" w:before="156" w:line="360" w:lineRule="auto"/>
        <w:ind w:firstLineChars="200" w:firstLine="482"/>
        <w:rPr>
          <w:rFonts w:eastAsiaTheme="minorEastAsia"/>
          <w:b/>
          <w:sz w:val="24"/>
        </w:rPr>
      </w:pPr>
      <w:r w:rsidRPr="005263F6">
        <w:rPr>
          <w:rFonts w:eastAsiaTheme="minorEastAsia"/>
          <w:b/>
          <w:sz w:val="24"/>
        </w:rPr>
        <w:t>一、对外投资概述</w:t>
      </w:r>
    </w:p>
    <w:p w14:paraId="1128596C" w14:textId="120150EC" w:rsidR="00182C57" w:rsidRPr="002C75C2" w:rsidRDefault="002C75C2" w:rsidP="002C75C2">
      <w:pPr>
        <w:spacing w:line="360" w:lineRule="auto"/>
        <w:ind w:firstLineChars="200" w:firstLine="480"/>
        <w:rPr>
          <w:rFonts w:eastAsiaTheme="minorEastAsia"/>
          <w:sz w:val="24"/>
        </w:rPr>
      </w:pPr>
      <w:r>
        <w:rPr>
          <w:rFonts w:eastAsiaTheme="minorEastAsia"/>
          <w:sz w:val="24"/>
        </w:rPr>
        <w:t>1</w:t>
      </w:r>
      <w:r>
        <w:rPr>
          <w:rFonts w:eastAsiaTheme="minorEastAsia" w:hint="eastAsia"/>
          <w:sz w:val="24"/>
        </w:rPr>
        <w:t>、</w:t>
      </w:r>
      <w:r w:rsidR="00F44830">
        <w:rPr>
          <w:rFonts w:eastAsiaTheme="minorEastAsia" w:hint="eastAsia"/>
          <w:sz w:val="24"/>
        </w:rPr>
        <w:t>2</w:t>
      </w:r>
      <w:r w:rsidR="00F44830">
        <w:rPr>
          <w:rFonts w:eastAsiaTheme="minorEastAsia"/>
          <w:sz w:val="24"/>
        </w:rPr>
        <w:t>020</w:t>
      </w:r>
      <w:r w:rsidR="00F44830">
        <w:rPr>
          <w:rFonts w:eastAsiaTheme="minorEastAsia" w:hint="eastAsia"/>
          <w:sz w:val="24"/>
        </w:rPr>
        <w:t>年</w:t>
      </w:r>
      <w:r w:rsidR="00F44830" w:rsidRPr="00521C87">
        <w:rPr>
          <w:rFonts w:eastAsiaTheme="minorEastAsia" w:hint="eastAsia"/>
          <w:sz w:val="24"/>
        </w:rPr>
        <w:t>7</w:t>
      </w:r>
      <w:r w:rsidR="00F44830" w:rsidRPr="00521C87">
        <w:rPr>
          <w:rFonts w:eastAsiaTheme="minorEastAsia" w:hint="eastAsia"/>
          <w:sz w:val="24"/>
        </w:rPr>
        <w:t>月</w:t>
      </w:r>
      <w:r w:rsidR="00F44830" w:rsidRPr="00521C87">
        <w:rPr>
          <w:rFonts w:eastAsiaTheme="minorEastAsia" w:hint="eastAsia"/>
          <w:sz w:val="24"/>
        </w:rPr>
        <w:t>1</w:t>
      </w:r>
      <w:r w:rsidR="00F44830" w:rsidRPr="00521C87">
        <w:rPr>
          <w:rFonts w:eastAsiaTheme="minorEastAsia"/>
          <w:sz w:val="24"/>
        </w:rPr>
        <w:t>4</w:t>
      </w:r>
      <w:r w:rsidR="00F44830" w:rsidRPr="00521C87">
        <w:rPr>
          <w:rFonts w:eastAsiaTheme="minorEastAsia" w:hint="eastAsia"/>
          <w:sz w:val="24"/>
        </w:rPr>
        <w:t>日</w:t>
      </w:r>
      <w:r w:rsidR="00F44830">
        <w:rPr>
          <w:rFonts w:eastAsiaTheme="minorEastAsia" w:hint="eastAsia"/>
          <w:sz w:val="24"/>
        </w:rPr>
        <w:t>，</w:t>
      </w:r>
      <w:bookmarkStart w:id="0" w:name="_Hlk45627908"/>
      <w:r w:rsidR="00182C57" w:rsidRPr="005263F6">
        <w:rPr>
          <w:rFonts w:eastAsiaTheme="minorEastAsia"/>
          <w:sz w:val="24"/>
        </w:rPr>
        <w:t>上海雪榕生物科技股份有限公司（以下简称</w:t>
      </w:r>
      <w:r w:rsidR="00182C57" w:rsidRPr="005263F6">
        <w:rPr>
          <w:rFonts w:eastAsiaTheme="minorEastAsia"/>
          <w:sz w:val="24"/>
        </w:rPr>
        <w:t>“</w:t>
      </w:r>
      <w:r w:rsidR="00182C57" w:rsidRPr="005263F6">
        <w:rPr>
          <w:rFonts w:eastAsiaTheme="minorEastAsia"/>
          <w:sz w:val="24"/>
        </w:rPr>
        <w:t>公司</w:t>
      </w:r>
      <w:r w:rsidR="00182C57" w:rsidRPr="005263F6">
        <w:rPr>
          <w:rFonts w:eastAsiaTheme="minorEastAsia"/>
          <w:sz w:val="24"/>
        </w:rPr>
        <w:t>”</w:t>
      </w:r>
      <w:r w:rsidR="00863830" w:rsidRPr="005263F6">
        <w:rPr>
          <w:rFonts w:eastAsiaTheme="minorEastAsia"/>
          <w:sz w:val="24"/>
        </w:rPr>
        <w:t>或</w:t>
      </w:r>
      <w:r w:rsidR="00863830" w:rsidRPr="005263F6">
        <w:rPr>
          <w:rFonts w:eastAsiaTheme="minorEastAsia"/>
          <w:sz w:val="24"/>
        </w:rPr>
        <w:t>“</w:t>
      </w:r>
      <w:r w:rsidR="00863830" w:rsidRPr="005263F6">
        <w:rPr>
          <w:rFonts w:eastAsiaTheme="minorEastAsia"/>
          <w:sz w:val="24"/>
        </w:rPr>
        <w:t>雪榕生物</w:t>
      </w:r>
      <w:r w:rsidR="00863830" w:rsidRPr="005263F6">
        <w:rPr>
          <w:rFonts w:eastAsiaTheme="minorEastAsia"/>
          <w:sz w:val="24"/>
        </w:rPr>
        <w:t>”</w:t>
      </w:r>
      <w:r w:rsidR="00182C57" w:rsidRPr="005263F6">
        <w:rPr>
          <w:rFonts w:eastAsiaTheme="minorEastAsia"/>
          <w:sz w:val="24"/>
        </w:rPr>
        <w:t>）</w:t>
      </w:r>
      <w:r w:rsidR="00F44830">
        <w:rPr>
          <w:rFonts w:eastAsiaTheme="minorEastAsia" w:hint="eastAsia"/>
          <w:sz w:val="24"/>
        </w:rPr>
        <w:t>与</w:t>
      </w:r>
      <w:r w:rsidR="00F44830" w:rsidRPr="00F44830">
        <w:rPr>
          <w:rFonts w:eastAsiaTheme="minorEastAsia" w:hint="eastAsia"/>
          <w:sz w:val="24"/>
        </w:rPr>
        <w:t>爱逸（厦门）食品科技有限公司</w:t>
      </w:r>
      <w:r>
        <w:rPr>
          <w:rFonts w:eastAsiaTheme="minorEastAsia" w:hint="eastAsia"/>
          <w:sz w:val="24"/>
        </w:rPr>
        <w:t>(</w:t>
      </w:r>
      <w:r w:rsidRPr="005263F6">
        <w:rPr>
          <w:rFonts w:eastAsiaTheme="minorEastAsia"/>
          <w:sz w:val="24"/>
        </w:rPr>
        <w:t>以下简称</w:t>
      </w:r>
      <w:r w:rsidRPr="005263F6">
        <w:rPr>
          <w:rFonts w:eastAsiaTheme="minorEastAsia"/>
          <w:sz w:val="24"/>
        </w:rPr>
        <w:t>“</w:t>
      </w:r>
      <w:r w:rsidRPr="00F44830">
        <w:rPr>
          <w:rFonts w:eastAsiaTheme="minorEastAsia" w:hint="eastAsia"/>
          <w:sz w:val="24"/>
        </w:rPr>
        <w:t>爱逸</w:t>
      </w:r>
      <w:r>
        <w:rPr>
          <w:rFonts w:eastAsiaTheme="minorEastAsia" w:hint="eastAsia"/>
          <w:sz w:val="24"/>
        </w:rPr>
        <w:t>食品</w:t>
      </w:r>
      <w:r w:rsidRPr="005263F6">
        <w:rPr>
          <w:rFonts w:eastAsiaTheme="minorEastAsia"/>
          <w:sz w:val="24"/>
        </w:rPr>
        <w:t>”</w:t>
      </w:r>
      <w:r>
        <w:rPr>
          <w:rFonts w:eastAsiaTheme="minorEastAsia"/>
          <w:sz w:val="24"/>
        </w:rPr>
        <w:t>)</w:t>
      </w:r>
      <w:r w:rsidR="00F44830">
        <w:rPr>
          <w:rFonts w:eastAsiaTheme="minorEastAsia" w:hint="eastAsia"/>
          <w:sz w:val="24"/>
        </w:rPr>
        <w:t>签署了《</w:t>
      </w:r>
      <w:r w:rsidR="00F44830" w:rsidRPr="00F44830">
        <w:rPr>
          <w:rFonts w:eastAsiaTheme="minorEastAsia" w:hint="eastAsia"/>
          <w:sz w:val="24"/>
        </w:rPr>
        <w:t>投资协议</w:t>
      </w:r>
      <w:r w:rsidR="00F44830">
        <w:rPr>
          <w:rFonts w:eastAsiaTheme="minorEastAsia" w:hint="eastAsia"/>
          <w:sz w:val="24"/>
        </w:rPr>
        <w:t>》，</w:t>
      </w:r>
      <w:r w:rsidR="00F44830" w:rsidRPr="002C75C2">
        <w:rPr>
          <w:rFonts w:eastAsiaTheme="minorEastAsia" w:hint="eastAsia"/>
          <w:sz w:val="24"/>
        </w:rPr>
        <w:t>双方拟在厦门共同投资设立植白（厦门）生物科技有限公司（名称以工商核准为准，以下简称“合资公司”），该合资公司注册资本为</w:t>
      </w:r>
      <w:r w:rsidR="00F44830" w:rsidRPr="002C75C2">
        <w:rPr>
          <w:rFonts w:eastAsiaTheme="minorEastAsia" w:hint="eastAsia"/>
          <w:sz w:val="24"/>
        </w:rPr>
        <w:t>1</w:t>
      </w:r>
      <w:r w:rsidRPr="002C75C2">
        <w:rPr>
          <w:rFonts w:eastAsiaTheme="minorEastAsia"/>
          <w:sz w:val="24"/>
        </w:rPr>
        <w:t>,</w:t>
      </w:r>
      <w:r w:rsidR="00F44830" w:rsidRPr="002C75C2">
        <w:rPr>
          <w:rFonts w:eastAsiaTheme="minorEastAsia" w:hint="eastAsia"/>
          <w:sz w:val="24"/>
        </w:rPr>
        <w:t>000</w:t>
      </w:r>
      <w:r w:rsidR="00F44830" w:rsidRPr="002C75C2">
        <w:rPr>
          <w:rFonts w:eastAsiaTheme="minorEastAsia" w:hint="eastAsia"/>
          <w:sz w:val="24"/>
        </w:rPr>
        <w:t>万元人民币，其中雪榕生物以自有资金出资</w:t>
      </w:r>
      <w:r w:rsidRPr="002C75C2">
        <w:rPr>
          <w:rFonts w:eastAsiaTheme="minorEastAsia"/>
          <w:sz w:val="24"/>
        </w:rPr>
        <w:t>400</w:t>
      </w:r>
      <w:r w:rsidR="00F44830" w:rsidRPr="002C75C2">
        <w:rPr>
          <w:rFonts w:eastAsiaTheme="minorEastAsia" w:hint="eastAsia"/>
          <w:sz w:val="24"/>
        </w:rPr>
        <w:t>万元，持有合资公司</w:t>
      </w:r>
      <w:r w:rsidRPr="002C75C2">
        <w:rPr>
          <w:rFonts w:eastAsiaTheme="minorEastAsia"/>
          <w:sz w:val="24"/>
        </w:rPr>
        <w:t>40</w:t>
      </w:r>
      <w:r w:rsidR="00F44830" w:rsidRPr="002C75C2">
        <w:rPr>
          <w:rFonts w:eastAsiaTheme="minorEastAsia" w:hint="eastAsia"/>
          <w:sz w:val="24"/>
        </w:rPr>
        <w:t>%</w:t>
      </w:r>
      <w:r w:rsidR="00F44830" w:rsidRPr="002C75C2">
        <w:rPr>
          <w:rFonts w:eastAsiaTheme="minorEastAsia" w:hint="eastAsia"/>
          <w:sz w:val="24"/>
        </w:rPr>
        <w:t>股权；</w:t>
      </w:r>
      <w:r w:rsidRPr="00F44830">
        <w:rPr>
          <w:rFonts w:eastAsiaTheme="minorEastAsia" w:hint="eastAsia"/>
          <w:sz w:val="24"/>
        </w:rPr>
        <w:t>爱逸</w:t>
      </w:r>
      <w:r>
        <w:rPr>
          <w:rFonts w:eastAsiaTheme="minorEastAsia" w:hint="eastAsia"/>
          <w:sz w:val="24"/>
        </w:rPr>
        <w:t>食品</w:t>
      </w:r>
      <w:r w:rsidR="00E47606">
        <w:rPr>
          <w:rFonts w:eastAsiaTheme="minorEastAsia" w:hint="eastAsia"/>
          <w:sz w:val="24"/>
        </w:rPr>
        <w:t>出资</w:t>
      </w:r>
      <w:r w:rsidRPr="002C75C2">
        <w:rPr>
          <w:rFonts w:eastAsiaTheme="minorEastAsia"/>
          <w:sz w:val="24"/>
        </w:rPr>
        <w:t>6</w:t>
      </w:r>
      <w:r w:rsidR="00F44830" w:rsidRPr="002C75C2">
        <w:rPr>
          <w:rFonts w:eastAsiaTheme="minorEastAsia" w:hint="eastAsia"/>
          <w:sz w:val="24"/>
        </w:rPr>
        <w:t>00</w:t>
      </w:r>
      <w:r w:rsidR="00F44830" w:rsidRPr="002C75C2">
        <w:rPr>
          <w:rFonts w:eastAsiaTheme="minorEastAsia" w:hint="eastAsia"/>
          <w:sz w:val="24"/>
        </w:rPr>
        <w:t>万元，持有合资公司</w:t>
      </w:r>
      <w:r w:rsidRPr="002C75C2">
        <w:rPr>
          <w:rFonts w:eastAsiaTheme="minorEastAsia"/>
          <w:sz w:val="24"/>
        </w:rPr>
        <w:t>60</w:t>
      </w:r>
      <w:r w:rsidR="00F44830" w:rsidRPr="002C75C2">
        <w:rPr>
          <w:rFonts w:eastAsiaTheme="minorEastAsia" w:hint="eastAsia"/>
          <w:sz w:val="24"/>
        </w:rPr>
        <w:t>%</w:t>
      </w:r>
      <w:r w:rsidR="00F44830" w:rsidRPr="002C75C2">
        <w:rPr>
          <w:rFonts w:eastAsiaTheme="minorEastAsia" w:hint="eastAsia"/>
          <w:sz w:val="24"/>
        </w:rPr>
        <w:t>股权</w:t>
      </w:r>
      <w:r w:rsidR="00FD3226">
        <w:rPr>
          <w:rFonts w:eastAsiaTheme="minorEastAsia" w:hint="eastAsia"/>
          <w:sz w:val="24"/>
        </w:rPr>
        <w:t>。</w:t>
      </w:r>
      <w:bookmarkEnd w:id="0"/>
    </w:p>
    <w:p w14:paraId="3416D5DC" w14:textId="0D349427" w:rsidR="002C75C2" w:rsidRPr="002C75C2" w:rsidRDefault="002C75C2" w:rsidP="002C75C2">
      <w:pPr>
        <w:spacing w:line="360" w:lineRule="auto"/>
        <w:ind w:firstLineChars="200" w:firstLine="480"/>
        <w:rPr>
          <w:rFonts w:eastAsiaTheme="minorEastAsia"/>
          <w:sz w:val="24"/>
        </w:rPr>
      </w:pPr>
      <w:r w:rsidRPr="002C75C2">
        <w:rPr>
          <w:rFonts w:eastAsiaTheme="minorEastAsia" w:hint="eastAsia"/>
          <w:sz w:val="24"/>
        </w:rPr>
        <w:t>2</w:t>
      </w:r>
      <w:r w:rsidRPr="002C75C2">
        <w:rPr>
          <w:rFonts w:eastAsiaTheme="minorEastAsia" w:hint="eastAsia"/>
          <w:sz w:val="24"/>
        </w:rPr>
        <w:t>、对外投资审批情况</w:t>
      </w:r>
    </w:p>
    <w:p w14:paraId="3D6B06AF" w14:textId="04C8732C" w:rsidR="002C75C2" w:rsidRPr="002C75C2" w:rsidRDefault="002C75C2" w:rsidP="002C75C2">
      <w:pPr>
        <w:spacing w:line="360" w:lineRule="auto"/>
        <w:ind w:firstLineChars="200" w:firstLine="480"/>
        <w:rPr>
          <w:rFonts w:eastAsiaTheme="minorEastAsia"/>
          <w:sz w:val="24"/>
        </w:rPr>
      </w:pPr>
      <w:r w:rsidRPr="002C75C2">
        <w:rPr>
          <w:rFonts w:eastAsiaTheme="minorEastAsia" w:hint="eastAsia"/>
          <w:sz w:val="24"/>
        </w:rPr>
        <w:t>根据《深圳证券交易所创业板股票上市规则》、《公司章程》等相关规定，本次对外投资无需董事会审议。</w:t>
      </w:r>
    </w:p>
    <w:p w14:paraId="18F710AA" w14:textId="02468959" w:rsidR="002C75C2" w:rsidRDefault="002C75C2" w:rsidP="005D238E">
      <w:pPr>
        <w:spacing w:line="360" w:lineRule="auto"/>
        <w:ind w:firstLineChars="200" w:firstLine="480"/>
        <w:rPr>
          <w:rFonts w:eastAsiaTheme="minorEastAsia"/>
          <w:sz w:val="24"/>
        </w:rPr>
      </w:pPr>
      <w:r w:rsidRPr="002C75C2">
        <w:rPr>
          <w:rFonts w:eastAsiaTheme="minorEastAsia" w:hint="eastAsia"/>
          <w:sz w:val="24"/>
        </w:rPr>
        <w:t>3</w:t>
      </w:r>
      <w:r w:rsidRPr="002C75C2">
        <w:rPr>
          <w:rFonts w:eastAsiaTheme="minorEastAsia" w:hint="eastAsia"/>
          <w:sz w:val="24"/>
        </w:rPr>
        <w:t>、本次对外投资不构成关联交易，亦不构成重大资产重组。</w:t>
      </w:r>
    </w:p>
    <w:p w14:paraId="76418974" w14:textId="690DD587" w:rsidR="002C75C2" w:rsidRPr="002A7E03" w:rsidRDefault="002C75C2" w:rsidP="005D238E">
      <w:pPr>
        <w:pStyle w:val="4"/>
        <w:shd w:val="clear" w:color="auto" w:fill="FFFFFF"/>
        <w:spacing w:before="0" w:after="0"/>
        <w:ind w:firstLineChars="200" w:firstLine="482"/>
        <w:rPr>
          <w:rFonts w:ascii="Times New Roman" w:eastAsiaTheme="minorEastAsia" w:hAnsi="Times New Roman" w:cs="Times New Roman"/>
          <w:bCs w:val="0"/>
          <w:sz w:val="24"/>
          <w:szCs w:val="24"/>
        </w:rPr>
      </w:pPr>
      <w:r w:rsidRPr="002A7E03">
        <w:rPr>
          <w:rFonts w:ascii="Times New Roman" w:eastAsiaTheme="minorEastAsia" w:hAnsi="Times New Roman" w:cs="Times New Roman" w:hint="eastAsia"/>
          <w:bCs w:val="0"/>
          <w:sz w:val="24"/>
          <w:szCs w:val="24"/>
        </w:rPr>
        <w:t>二、交易对方基本情况</w:t>
      </w:r>
    </w:p>
    <w:p w14:paraId="37C5675D" w14:textId="772C979D" w:rsidR="002C75C2" w:rsidRPr="001278F6" w:rsidRDefault="002C75C2" w:rsidP="005D238E">
      <w:pPr>
        <w:spacing w:line="360" w:lineRule="auto"/>
        <w:ind w:firstLineChars="200" w:firstLine="480"/>
        <w:rPr>
          <w:rFonts w:eastAsiaTheme="minorEastAsia"/>
          <w:sz w:val="24"/>
        </w:rPr>
      </w:pPr>
      <w:r w:rsidRPr="001278F6">
        <w:rPr>
          <w:rFonts w:eastAsiaTheme="minorEastAsia" w:hint="eastAsia"/>
          <w:sz w:val="24"/>
        </w:rPr>
        <w:t>1</w:t>
      </w:r>
      <w:r w:rsidRPr="001278F6">
        <w:rPr>
          <w:rFonts w:eastAsiaTheme="minorEastAsia" w:hint="eastAsia"/>
          <w:sz w:val="24"/>
        </w:rPr>
        <w:t>、公司名称：爱逸（厦门）食品科技有限公司</w:t>
      </w:r>
    </w:p>
    <w:p w14:paraId="2B1B1E5F" w14:textId="236A4219" w:rsidR="002C75C2" w:rsidRPr="001278F6" w:rsidRDefault="002C75C2" w:rsidP="005D238E">
      <w:pPr>
        <w:spacing w:line="360" w:lineRule="auto"/>
        <w:ind w:firstLineChars="200" w:firstLine="480"/>
        <w:rPr>
          <w:rFonts w:eastAsiaTheme="minorEastAsia"/>
          <w:sz w:val="24"/>
        </w:rPr>
      </w:pPr>
      <w:r w:rsidRPr="001278F6">
        <w:rPr>
          <w:rFonts w:eastAsiaTheme="minorEastAsia" w:hint="eastAsia"/>
          <w:sz w:val="24"/>
        </w:rPr>
        <w:t>2</w:t>
      </w:r>
      <w:r w:rsidRPr="001278F6">
        <w:rPr>
          <w:rFonts w:eastAsiaTheme="minorEastAsia" w:hint="eastAsia"/>
          <w:sz w:val="24"/>
        </w:rPr>
        <w:t>、公司类型：有限责任公司</w:t>
      </w:r>
    </w:p>
    <w:p w14:paraId="0DBA646E" w14:textId="77777777" w:rsidR="002C75C2" w:rsidRPr="001278F6" w:rsidRDefault="002C75C2" w:rsidP="001278F6">
      <w:pPr>
        <w:spacing w:line="360" w:lineRule="auto"/>
        <w:ind w:firstLineChars="200" w:firstLine="480"/>
        <w:rPr>
          <w:rFonts w:eastAsiaTheme="minorEastAsia"/>
          <w:sz w:val="24"/>
        </w:rPr>
      </w:pPr>
      <w:r w:rsidRPr="001278F6">
        <w:rPr>
          <w:rFonts w:eastAsiaTheme="minorEastAsia" w:hint="eastAsia"/>
          <w:sz w:val="24"/>
        </w:rPr>
        <w:t>3</w:t>
      </w:r>
      <w:r w:rsidRPr="001278F6">
        <w:rPr>
          <w:rFonts w:eastAsiaTheme="minorEastAsia" w:hint="eastAsia"/>
          <w:sz w:val="24"/>
        </w:rPr>
        <w:t>、公司住所：厦门市软件园三期诚毅北大街</w:t>
      </w:r>
      <w:r w:rsidRPr="001278F6">
        <w:rPr>
          <w:rFonts w:eastAsiaTheme="minorEastAsia" w:hint="eastAsia"/>
          <w:sz w:val="24"/>
        </w:rPr>
        <w:t>65</w:t>
      </w:r>
      <w:r w:rsidRPr="001278F6">
        <w:rPr>
          <w:rFonts w:eastAsiaTheme="minorEastAsia" w:hint="eastAsia"/>
          <w:sz w:val="24"/>
        </w:rPr>
        <w:t>号</w:t>
      </w:r>
      <w:r w:rsidRPr="001278F6">
        <w:rPr>
          <w:rFonts w:eastAsiaTheme="minorEastAsia" w:hint="eastAsia"/>
          <w:sz w:val="24"/>
        </w:rPr>
        <w:t>901</w:t>
      </w:r>
      <w:r w:rsidRPr="001278F6">
        <w:rPr>
          <w:rFonts w:eastAsiaTheme="minorEastAsia" w:hint="eastAsia"/>
          <w:sz w:val="24"/>
        </w:rPr>
        <w:t>单元</w:t>
      </w:r>
    </w:p>
    <w:p w14:paraId="37BA24F9" w14:textId="5D52B8AB" w:rsidR="002C75C2" w:rsidRPr="001278F6" w:rsidRDefault="002C75C2" w:rsidP="001278F6">
      <w:pPr>
        <w:spacing w:line="360" w:lineRule="auto"/>
        <w:ind w:firstLineChars="200" w:firstLine="480"/>
        <w:rPr>
          <w:rFonts w:eastAsiaTheme="minorEastAsia"/>
          <w:sz w:val="24"/>
        </w:rPr>
      </w:pPr>
      <w:r w:rsidRPr="001278F6">
        <w:rPr>
          <w:rFonts w:eastAsiaTheme="minorEastAsia" w:hint="eastAsia"/>
          <w:sz w:val="24"/>
        </w:rPr>
        <w:t>4</w:t>
      </w:r>
      <w:r w:rsidRPr="001278F6">
        <w:rPr>
          <w:rFonts w:eastAsiaTheme="minorEastAsia" w:hint="eastAsia"/>
          <w:sz w:val="24"/>
        </w:rPr>
        <w:t>、法定代表人：</w:t>
      </w:r>
      <w:hyperlink r:id="rId7" w:tgtFrame="_blank" w:history="1">
        <w:r w:rsidRPr="001278F6">
          <w:rPr>
            <w:rFonts w:eastAsiaTheme="minorEastAsia" w:hint="eastAsia"/>
            <w:sz w:val="24"/>
          </w:rPr>
          <w:t>周炜平</w:t>
        </w:r>
      </w:hyperlink>
    </w:p>
    <w:p w14:paraId="102F065A" w14:textId="72B25159" w:rsidR="002C75C2" w:rsidRDefault="002C75C2" w:rsidP="001278F6">
      <w:pPr>
        <w:spacing w:line="360" w:lineRule="auto"/>
        <w:ind w:firstLineChars="200" w:firstLine="480"/>
        <w:rPr>
          <w:rFonts w:eastAsiaTheme="minorEastAsia"/>
          <w:sz w:val="24"/>
        </w:rPr>
      </w:pPr>
      <w:r w:rsidRPr="001278F6">
        <w:rPr>
          <w:rFonts w:eastAsiaTheme="minorEastAsia" w:hint="eastAsia"/>
          <w:sz w:val="24"/>
        </w:rPr>
        <w:t>5</w:t>
      </w:r>
      <w:r w:rsidRPr="001278F6">
        <w:rPr>
          <w:rFonts w:eastAsiaTheme="minorEastAsia" w:hint="eastAsia"/>
          <w:sz w:val="24"/>
        </w:rPr>
        <w:t>、注册资本：</w:t>
      </w:r>
      <w:r w:rsidRPr="001278F6">
        <w:rPr>
          <w:rFonts w:eastAsiaTheme="minorEastAsia" w:hint="eastAsia"/>
          <w:sz w:val="24"/>
        </w:rPr>
        <w:t>1,069.7287</w:t>
      </w:r>
      <w:r w:rsidRPr="001278F6">
        <w:rPr>
          <w:rFonts w:eastAsiaTheme="minorEastAsia" w:hint="eastAsia"/>
          <w:sz w:val="24"/>
        </w:rPr>
        <w:t>万</w:t>
      </w:r>
      <w:r w:rsidR="00683D3C">
        <w:rPr>
          <w:rFonts w:eastAsiaTheme="minorEastAsia" w:hint="eastAsia"/>
          <w:sz w:val="24"/>
        </w:rPr>
        <w:t>元</w:t>
      </w:r>
      <w:r w:rsidRPr="001278F6">
        <w:rPr>
          <w:rFonts w:eastAsiaTheme="minorEastAsia" w:hint="eastAsia"/>
          <w:sz w:val="24"/>
        </w:rPr>
        <w:t>人民币</w:t>
      </w:r>
    </w:p>
    <w:p w14:paraId="20031C8B" w14:textId="768C84FE" w:rsidR="002C75C2" w:rsidRPr="00053038" w:rsidRDefault="00053038" w:rsidP="00572FA4">
      <w:pPr>
        <w:spacing w:line="360" w:lineRule="auto"/>
        <w:ind w:firstLineChars="200" w:firstLine="480"/>
        <w:rPr>
          <w:rFonts w:eastAsiaTheme="minorEastAsia"/>
          <w:sz w:val="24"/>
        </w:rPr>
      </w:pPr>
      <w:r w:rsidRPr="001278F6">
        <w:rPr>
          <w:rFonts w:eastAsiaTheme="minorEastAsia" w:hint="eastAsia"/>
          <w:sz w:val="24"/>
        </w:rPr>
        <w:t>爱逸食品是一家以产品驱动为核心的食品科技公司，</w:t>
      </w:r>
      <w:r w:rsidR="00DE1970" w:rsidRPr="001278F6">
        <w:rPr>
          <w:rFonts w:eastAsiaTheme="minorEastAsia" w:hint="eastAsia"/>
          <w:sz w:val="24"/>
        </w:rPr>
        <w:t>致力于</w:t>
      </w:r>
      <w:r w:rsidRPr="001278F6">
        <w:rPr>
          <w:rFonts w:eastAsiaTheme="minorEastAsia" w:hint="eastAsia"/>
          <w:sz w:val="24"/>
        </w:rPr>
        <w:t>为年轻消费者提供极致口味、多元品类、友好体验的放心食品。源于“为家人而生”的初衷，爱逸食品执着于新品创造和传统食品的升华，立志让“国人更信任中国食品”。爱逸食品打造出“蛋黄酥”、“云蛋糕”、“曲奇”等多个风靡全网的爆款产品。目前，已经拥有烘焙、坚果、肉制品六大类别</w:t>
      </w:r>
      <w:r w:rsidRPr="001278F6">
        <w:rPr>
          <w:rFonts w:eastAsiaTheme="minorEastAsia" w:hint="eastAsia"/>
          <w:sz w:val="24"/>
        </w:rPr>
        <w:t>300</w:t>
      </w:r>
      <w:r w:rsidRPr="001278F6">
        <w:rPr>
          <w:rFonts w:eastAsiaTheme="minorEastAsia" w:hint="eastAsia"/>
          <w:sz w:val="24"/>
        </w:rPr>
        <w:t>多个品项。</w:t>
      </w:r>
    </w:p>
    <w:p w14:paraId="5DDA0527" w14:textId="77777777" w:rsidR="00B673F5" w:rsidRPr="005263F6" w:rsidRDefault="00625F21" w:rsidP="00DC2CBC">
      <w:pPr>
        <w:spacing w:beforeLines="50" w:before="156" w:line="360" w:lineRule="auto"/>
        <w:ind w:firstLineChars="200" w:firstLine="482"/>
        <w:rPr>
          <w:rFonts w:eastAsiaTheme="minorEastAsia"/>
          <w:b/>
          <w:sz w:val="24"/>
        </w:rPr>
      </w:pPr>
      <w:r w:rsidRPr="005263F6">
        <w:rPr>
          <w:rFonts w:eastAsiaTheme="minorEastAsia"/>
          <w:b/>
          <w:sz w:val="24"/>
        </w:rPr>
        <w:lastRenderedPageBreak/>
        <w:t>三、标的公司基本情况</w:t>
      </w:r>
    </w:p>
    <w:p w14:paraId="10048CD3" w14:textId="40BD4AD2" w:rsidR="004E2278" w:rsidRPr="005263F6" w:rsidRDefault="004E2278" w:rsidP="00F30DB3">
      <w:pPr>
        <w:suppressAutoHyphens/>
        <w:adjustRightInd w:val="0"/>
        <w:spacing w:line="360" w:lineRule="auto"/>
        <w:ind w:firstLineChars="200" w:firstLine="480"/>
        <w:rPr>
          <w:rFonts w:eastAsiaTheme="minorEastAsia"/>
          <w:sz w:val="24"/>
        </w:rPr>
      </w:pPr>
      <w:r w:rsidRPr="005263F6">
        <w:rPr>
          <w:rFonts w:eastAsiaTheme="minorEastAsia"/>
          <w:sz w:val="24"/>
        </w:rPr>
        <w:t>1</w:t>
      </w:r>
      <w:r w:rsidRPr="005263F6">
        <w:rPr>
          <w:rFonts w:eastAsiaTheme="minorEastAsia"/>
          <w:sz w:val="24"/>
        </w:rPr>
        <w:t>、企业名称：</w:t>
      </w:r>
      <w:r w:rsidR="00F30DB3" w:rsidRPr="00F30DB3">
        <w:rPr>
          <w:rFonts w:eastAsiaTheme="minorEastAsia" w:hint="eastAsia"/>
          <w:sz w:val="24"/>
        </w:rPr>
        <w:t>植白（厦门）生物科技有限公司</w:t>
      </w:r>
    </w:p>
    <w:p w14:paraId="749E131E" w14:textId="3793CC44" w:rsidR="004E2278" w:rsidRPr="005263F6" w:rsidRDefault="00F30DB3" w:rsidP="00F30DB3">
      <w:pPr>
        <w:suppressAutoHyphens/>
        <w:adjustRightInd w:val="0"/>
        <w:spacing w:line="360" w:lineRule="auto"/>
        <w:ind w:firstLineChars="200" w:firstLine="480"/>
        <w:rPr>
          <w:rFonts w:eastAsiaTheme="minorEastAsia"/>
          <w:sz w:val="24"/>
        </w:rPr>
      </w:pPr>
      <w:r>
        <w:rPr>
          <w:rFonts w:eastAsiaTheme="minorEastAsia"/>
          <w:sz w:val="24"/>
        </w:rPr>
        <w:t>2</w:t>
      </w:r>
      <w:r w:rsidR="004E2278" w:rsidRPr="005263F6">
        <w:rPr>
          <w:rFonts w:eastAsiaTheme="minorEastAsia"/>
          <w:sz w:val="24"/>
        </w:rPr>
        <w:t>、企业性质：</w:t>
      </w:r>
      <w:r w:rsidR="00E37289" w:rsidRPr="005263F6">
        <w:rPr>
          <w:rFonts w:eastAsiaTheme="minorEastAsia"/>
          <w:sz w:val="24"/>
        </w:rPr>
        <w:t>有限责任公司</w:t>
      </w:r>
    </w:p>
    <w:p w14:paraId="6F506533" w14:textId="652743B4" w:rsidR="004E2278" w:rsidRPr="005263F6" w:rsidRDefault="00F30DB3" w:rsidP="00F30DB3">
      <w:pPr>
        <w:suppressAutoHyphens/>
        <w:adjustRightInd w:val="0"/>
        <w:spacing w:line="360" w:lineRule="auto"/>
        <w:ind w:firstLineChars="200" w:firstLine="480"/>
        <w:rPr>
          <w:rFonts w:eastAsiaTheme="minorEastAsia"/>
          <w:sz w:val="24"/>
        </w:rPr>
      </w:pPr>
      <w:r>
        <w:rPr>
          <w:rFonts w:eastAsiaTheme="minorEastAsia"/>
          <w:sz w:val="24"/>
        </w:rPr>
        <w:t>3</w:t>
      </w:r>
      <w:r w:rsidR="004E2278" w:rsidRPr="005263F6">
        <w:rPr>
          <w:rFonts w:eastAsiaTheme="minorEastAsia"/>
          <w:sz w:val="24"/>
        </w:rPr>
        <w:t>、注册</w:t>
      </w:r>
      <w:r>
        <w:rPr>
          <w:rFonts w:eastAsiaTheme="minorEastAsia" w:hint="eastAsia"/>
          <w:sz w:val="24"/>
        </w:rPr>
        <w:t>资本</w:t>
      </w:r>
      <w:r w:rsidR="004E2278" w:rsidRPr="005263F6">
        <w:rPr>
          <w:rFonts w:eastAsiaTheme="minorEastAsia"/>
          <w:sz w:val="24"/>
        </w:rPr>
        <w:t>：</w:t>
      </w:r>
      <w:r>
        <w:rPr>
          <w:rFonts w:eastAsiaTheme="minorEastAsia" w:hint="eastAsia"/>
          <w:sz w:val="24"/>
        </w:rPr>
        <w:t>1</w:t>
      </w:r>
      <w:r>
        <w:rPr>
          <w:rFonts w:eastAsiaTheme="minorEastAsia"/>
          <w:sz w:val="24"/>
        </w:rPr>
        <w:t>000</w:t>
      </w:r>
      <w:r>
        <w:rPr>
          <w:rFonts w:eastAsiaTheme="minorEastAsia" w:hint="eastAsia"/>
          <w:sz w:val="24"/>
        </w:rPr>
        <w:t>万元人民币</w:t>
      </w:r>
      <w:r w:rsidR="004E2278" w:rsidRPr="005263F6">
        <w:rPr>
          <w:rFonts w:eastAsiaTheme="minorEastAsia"/>
          <w:sz w:val="24"/>
        </w:rPr>
        <w:t xml:space="preserve"> </w:t>
      </w:r>
    </w:p>
    <w:p w14:paraId="6B1B6B88" w14:textId="59ACFB30" w:rsidR="0007381A" w:rsidRDefault="00F30DB3" w:rsidP="005D238E">
      <w:pPr>
        <w:suppressAutoHyphens/>
        <w:adjustRightInd w:val="0"/>
        <w:spacing w:line="360" w:lineRule="auto"/>
        <w:ind w:firstLineChars="200" w:firstLine="480"/>
        <w:rPr>
          <w:rFonts w:eastAsiaTheme="minorEastAsia"/>
          <w:sz w:val="24"/>
        </w:rPr>
      </w:pPr>
      <w:r>
        <w:rPr>
          <w:rFonts w:eastAsiaTheme="minorEastAsia"/>
          <w:sz w:val="24"/>
        </w:rPr>
        <w:t>4</w:t>
      </w:r>
      <w:r w:rsidR="004E2278" w:rsidRPr="005263F6">
        <w:rPr>
          <w:rFonts w:eastAsiaTheme="minorEastAsia"/>
          <w:sz w:val="24"/>
        </w:rPr>
        <w:t>、</w:t>
      </w:r>
      <w:r w:rsidR="00E37289" w:rsidRPr="005263F6">
        <w:rPr>
          <w:rFonts w:eastAsiaTheme="minorEastAsia"/>
          <w:sz w:val="24"/>
        </w:rPr>
        <w:t>主要业务</w:t>
      </w:r>
      <w:r w:rsidR="004E2278" w:rsidRPr="005263F6">
        <w:rPr>
          <w:rFonts w:eastAsiaTheme="minorEastAsia"/>
          <w:sz w:val="24"/>
        </w:rPr>
        <w:t>：</w:t>
      </w:r>
      <w:r w:rsidRPr="00F30DB3">
        <w:rPr>
          <w:rFonts w:eastAsiaTheme="minorEastAsia" w:hint="eastAsia"/>
          <w:sz w:val="24"/>
        </w:rPr>
        <w:t>研发、生产和销售植物蛋白食品及周边产品等</w:t>
      </w:r>
      <w:r w:rsidR="004E2278" w:rsidRPr="005263F6">
        <w:rPr>
          <w:rFonts w:eastAsiaTheme="minorEastAsia"/>
          <w:sz w:val="24"/>
        </w:rPr>
        <w:t xml:space="preserve"> </w:t>
      </w:r>
    </w:p>
    <w:p w14:paraId="2140DFB4" w14:textId="77777777" w:rsidR="00F30DB3" w:rsidRPr="00F30DB3" w:rsidRDefault="00F30DB3" w:rsidP="005D238E">
      <w:pPr>
        <w:spacing w:line="360" w:lineRule="auto"/>
        <w:ind w:firstLineChars="200" w:firstLine="480"/>
        <w:rPr>
          <w:rFonts w:eastAsiaTheme="minorEastAsia"/>
          <w:sz w:val="24"/>
        </w:rPr>
      </w:pPr>
      <w:r w:rsidRPr="00F30DB3">
        <w:rPr>
          <w:rFonts w:eastAsiaTheme="minorEastAsia" w:hint="eastAsia"/>
          <w:sz w:val="24"/>
        </w:rPr>
        <w:t>以上项目以工商登记机关核准为准。</w:t>
      </w:r>
    </w:p>
    <w:p w14:paraId="22723F50" w14:textId="59C9CBA1" w:rsidR="00A444B2" w:rsidRPr="005263F6" w:rsidRDefault="001706F1" w:rsidP="005D238E">
      <w:pPr>
        <w:spacing w:line="360" w:lineRule="auto"/>
        <w:ind w:firstLineChars="200" w:firstLine="482"/>
        <w:rPr>
          <w:rFonts w:eastAsiaTheme="minorEastAsia"/>
          <w:b/>
          <w:sz w:val="24"/>
        </w:rPr>
      </w:pPr>
      <w:r w:rsidRPr="005263F6">
        <w:rPr>
          <w:rFonts w:eastAsiaTheme="minorEastAsia" w:hint="eastAsia"/>
          <w:b/>
          <w:sz w:val="24"/>
        </w:rPr>
        <w:t>四、</w:t>
      </w:r>
      <w:r w:rsidR="00F30DB3">
        <w:rPr>
          <w:rFonts w:eastAsiaTheme="minorEastAsia" w:hint="eastAsia"/>
          <w:b/>
          <w:sz w:val="24"/>
        </w:rPr>
        <w:t>投资</w:t>
      </w:r>
      <w:r w:rsidR="004E2278" w:rsidRPr="005263F6">
        <w:rPr>
          <w:rFonts w:eastAsiaTheme="minorEastAsia" w:hint="eastAsia"/>
          <w:b/>
          <w:sz w:val="24"/>
        </w:rPr>
        <w:t>协议</w:t>
      </w:r>
      <w:r w:rsidR="00C8718E" w:rsidRPr="005263F6">
        <w:rPr>
          <w:rFonts w:eastAsiaTheme="minorEastAsia" w:hint="eastAsia"/>
          <w:b/>
          <w:sz w:val="24"/>
        </w:rPr>
        <w:t>的主要内容</w:t>
      </w:r>
    </w:p>
    <w:p w14:paraId="72823758" w14:textId="77777777" w:rsidR="00F30DB3" w:rsidRDefault="00F30DB3" w:rsidP="005D238E">
      <w:pPr>
        <w:spacing w:line="400" w:lineRule="exact"/>
        <w:ind w:firstLineChars="200" w:firstLine="480"/>
        <w:rPr>
          <w:rFonts w:ascii="宋体" w:hAnsi="宋体" w:cs="宋体"/>
          <w:color w:val="000000"/>
          <w:sz w:val="24"/>
        </w:rPr>
      </w:pPr>
      <w:r>
        <w:rPr>
          <w:rFonts w:eastAsiaTheme="minorEastAsia" w:hint="eastAsia"/>
          <w:sz w:val="24"/>
        </w:rPr>
        <w:t>甲方：</w:t>
      </w:r>
      <w:r>
        <w:rPr>
          <w:rFonts w:ascii="宋体" w:hAnsi="宋体" w:cs="宋体" w:hint="eastAsia"/>
          <w:color w:val="000000"/>
          <w:sz w:val="24"/>
        </w:rPr>
        <w:t>爱逸（厦门）食品科技有限公司</w:t>
      </w:r>
    </w:p>
    <w:p w14:paraId="042B6DDD" w14:textId="18D88B63" w:rsidR="00F30DB3" w:rsidRDefault="00F30DB3" w:rsidP="00A444B2">
      <w:pPr>
        <w:spacing w:line="360" w:lineRule="auto"/>
        <w:ind w:firstLineChars="200" w:firstLine="480"/>
        <w:rPr>
          <w:rFonts w:ascii="宋体" w:hAnsi="宋体" w:cs="宋体"/>
          <w:color w:val="000000"/>
          <w:sz w:val="24"/>
        </w:rPr>
      </w:pPr>
      <w:r>
        <w:rPr>
          <w:rFonts w:eastAsiaTheme="minorEastAsia" w:hint="eastAsia"/>
          <w:sz w:val="24"/>
        </w:rPr>
        <w:t>乙方：</w:t>
      </w:r>
      <w:r>
        <w:rPr>
          <w:rFonts w:ascii="宋体" w:hAnsi="宋体" w:cs="宋体" w:hint="eastAsia"/>
          <w:color w:val="000000"/>
          <w:sz w:val="24"/>
        </w:rPr>
        <w:t>上海雪榕生物科技股份有限公司</w:t>
      </w:r>
    </w:p>
    <w:p w14:paraId="466821B1" w14:textId="62E0B810" w:rsidR="00F30DB3" w:rsidRPr="00F30DB3" w:rsidRDefault="00F30DB3" w:rsidP="00F30DB3">
      <w:pPr>
        <w:suppressAutoHyphens/>
        <w:adjustRightInd w:val="0"/>
        <w:spacing w:line="360" w:lineRule="auto"/>
        <w:ind w:firstLineChars="200" w:firstLine="480"/>
        <w:rPr>
          <w:rFonts w:eastAsiaTheme="minorEastAsia"/>
          <w:sz w:val="24"/>
        </w:rPr>
      </w:pPr>
      <w:r>
        <w:rPr>
          <w:rFonts w:ascii="宋体" w:hAnsi="宋体" w:cs="宋体" w:hint="eastAsia"/>
          <w:color w:val="000000"/>
          <w:sz w:val="24"/>
        </w:rPr>
        <w:t>项目公司：</w:t>
      </w:r>
      <w:r w:rsidRPr="00F30DB3">
        <w:rPr>
          <w:rFonts w:eastAsiaTheme="minorEastAsia" w:hint="eastAsia"/>
          <w:sz w:val="24"/>
        </w:rPr>
        <w:t>植白（厦门）生物科技有限公司</w:t>
      </w:r>
    </w:p>
    <w:p w14:paraId="7B7EBE15" w14:textId="77777777" w:rsidR="00F30DB3" w:rsidRDefault="00A444B2" w:rsidP="00A444B2">
      <w:pPr>
        <w:spacing w:line="360" w:lineRule="auto"/>
        <w:ind w:firstLineChars="200" w:firstLine="480"/>
        <w:rPr>
          <w:rFonts w:eastAsiaTheme="minorEastAsia"/>
          <w:sz w:val="24"/>
        </w:rPr>
      </w:pPr>
      <w:r w:rsidRPr="005263F6">
        <w:rPr>
          <w:rFonts w:eastAsiaTheme="minorEastAsia"/>
          <w:sz w:val="24"/>
        </w:rPr>
        <w:t>1</w:t>
      </w:r>
      <w:r w:rsidRPr="005263F6">
        <w:rPr>
          <w:rFonts w:eastAsiaTheme="minorEastAsia" w:hint="eastAsia"/>
          <w:sz w:val="24"/>
        </w:rPr>
        <w:t>、</w:t>
      </w:r>
      <w:r w:rsidR="00F30DB3" w:rsidRPr="00F30DB3">
        <w:rPr>
          <w:rFonts w:eastAsiaTheme="minorEastAsia" w:hint="eastAsia"/>
          <w:sz w:val="24"/>
        </w:rPr>
        <w:t>投资各方将按照本协议的约定出资设立</w:t>
      </w:r>
      <w:r w:rsidR="00F30DB3">
        <w:rPr>
          <w:rFonts w:eastAsiaTheme="minorEastAsia" w:hint="eastAsia"/>
          <w:sz w:val="24"/>
        </w:rPr>
        <w:t>项目</w:t>
      </w:r>
      <w:r w:rsidR="00F30DB3" w:rsidRPr="00F30DB3">
        <w:rPr>
          <w:rFonts w:eastAsiaTheme="minorEastAsia" w:hint="eastAsia"/>
          <w:sz w:val="24"/>
        </w:rPr>
        <w:t>公司。项目公司应当以有限责任公司的形式设立，注册资本为人民币</w:t>
      </w:r>
      <w:r w:rsidR="00F30DB3" w:rsidRPr="00F30DB3">
        <w:rPr>
          <w:rFonts w:eastAsiaTheme="minorEastAsia" w:hint="eastAsia"/>
          <w:sz w:val="24"/>
        </w:rPr>
        <w:t>1000</w:t>
      </w:r>
      <w:r w:rsidR="00F30DB3" w:rsidRPr="00F30DB3">
        <w:rPr>
          <w:rFonts w:eastAsiaTheme="minorEastAsia" w:hint="eastAsia"/>
          <w:sz w:val="24"/>
        </w:rPr>
        <w:t>万元</w:t>
      </w:r>
      <w:r w:rsidR="00F30DB3">
        <w:rPr>
          <w:rFonts w:eastAsiaTheme="minorEastAsia" w:hint="eastAsia"/>
          <w:sz w:val="24"/>
        </w:rPr>
        <w:t>。</w:t>
      </w:r>
    </w:p>
    <w:p w14:paraId="3F0C1C0B" w14:textId="1C68F74E" w:rsidR="00F30DB3" w:rsidRPr="00F30DB3" w:rsidRDefault="00F30DB3" w:rsidP="00F30DB3">
      <w:pPr>
        <w:spacing w:line="360" w:lineRule="auto"/>
        <w:ind w:firstLineChars="200" w:firstLine="480"/>
        <w:rPr>
          <w:rFonts w:eastAsiaTheme="minorEastAsia"/>
          <w:sz w:val="24"/>
        </w:rPr>
      </w:pPr>
      <w:r>
        <w:rPr>
          <w:rFonts w:eastAsiaTheme="minorEastAsia"/>
          <w:sz w:val="24"/>
        </w:rPr>
        <w:t>2</w:t>
      </w:r>
      <w:r>
        <w:rPr>
          <w:rFonts w:eastAsiaTheme="minorEastAsia" w:hint="eastAsia"/>
          <w:sz w:val="24"/>
        </w:rPr>
        <w:t>、</w:t>
      </w:r>
      <w:r>
        <w:rPr>
          <w:rFonts w:ascii="宋体" w:hAnsi="宋体" w:hint="eastAsia"/>
          <w:bCs/>
          <w:sz w:val="24"/>
        </w:rPr>
        <w:t>设立时，</w:t>
      </w:r>
      <w:r>
        <w:rPr>
          <w:rFonts w:ascii="宋体" w:hAnsi="宋体" w:hint="eastAsia"/>
          <w:sz w:val="24"/>
        </w:rPr>
        <w:t>各方的股权比例如下：</w:t>
      </w:r>
    </w:p>
    <w:tbl>
      <w:tblPr>
        <w:tblW w:w="0" w:type="auto"/>
        <w:tblInd w:w="531" w:type="dxa"/>
        <w:shd w:val="clear" w:color="auto" w:fill="FFFFFF"/>
        <w:tblLayout w:type="fixed"/>
        <w:tblCellMar>
          <w:left w:w="0" w:type="dxa"/>
          <w:right w:w="0" w:type="dxa"/>
        </w:tblCellMar>
        <w:tblLook w:val="0000" w:firstRow="0" w:lastRow="0" w:firstColumn="0" w:lastColumn="0" w:noHBand="0" w:noVBand="0"/>
      </w:tblPr>
      <w:tblGrid>
        <w:gridCol w:w="1842"/>
        <w:gridCol w:w="2410"/>
        <w:gridCol w:w="2835"/>
      </w:tblGrid>
      <w:tr w:rsidR="00F30DB3" w14:paraId="40112C09" w14:textId="77777777" w:rsidTr="009148E2">
        <w:trPr>
          <w:trHeight w:val="552"/>
        </w:trPr>
        <w:tc>
          <w:tcPr>
            <w:tcW w:w="1842" w:type="dxa"/>
            <w:tcBorders>
              <w:top w:val="single" w:sz="6" w:space="0" w:color="auto"/>
              <w:left w:val="single" w:sz="6" w:space="0" w:color="auto"/>
              <w:bottom w:val="single" w:sz="6" w:space="0" w:color="auto"/>
              <w:right w:val="single" w:sz="6" w:space="0" w:color="auto"/>
            </w:tcBorders>
            <w:shd w:val="clear" w:color="auto" w:fill="FFF2CC"/>
            <w:tcMar>
              <w:left w:w="105" w:type="dxa"/>
              <w:right w:w="105" w:type="dxa"/>
            </w:tcMar>
            <w:vAlign w:val="center"/>
          </w:tcPr>
          <w:p w14:paraId="4E9CA7DD" w14:textId="77777777" w:rsidR="00F30DB3" w:rsidRDefault="00F30DB3" w:rsidP="009148E2">
            <w:pPr>
              <w:spacing w:line="360" w:lineRule="auto"/>
              <w:jc w:val="center"/>
              <w:rPr>
                <w:rFonts w:ascii="宋体" w:hAnsi="宋体"/>
                <w:sz w:val="24"/>
              </w:rPr>
            </w:pPr>
            <w:r>
              <w:rPr>
                <w:rFonts w:ascii="宋体" w:hAnsi="宋体" w:hint="eastAsia"/>
                <w:sz w:val="24"/>
              </w:rPr>
              <w:t xml:space="preserve">股东 </w:t>
            </w:r>
          </w:p>
        </w:tc>
        <w:tc>
          <w:tcPr>
            <w:tcW w:w="2410" w:type="dxa"/>
            <w:tcBorders>
              <w:top w:val="single" w:sz="6" w:space="0" w:color="auto"/>
              <w:left w:val="nil"/>
              <w:bottom w:val="single" w:sz="6" w:space="0" w:color="auto"/>
              <w:right w:val="single" w:sz="6" w:space="0" w:color="auto"/>
            </w:tcBorders>
            <w:shd w:val="clear" w:color="auto" w:fill="FFF2CC"/>
            <w:tcMar>
              <w:left w:w="105" w:type="dxa"/>
              <w:right w:w="105" w:type="dxa"/>
            </w:tcMar>
            <w:vAlign w:val="center"/>
          </w:tcPr>
          <w:p w14:paraId="6AE0A944" w14:textId="77777777" w:rsidR="00F30DB3" w:rsidRDefault="00F30DB3" w:rsidP="009148E2">
            <w:pPr>
              <w:spacing w:line="360" w:lineRule="auto"/>
              <w:jc w:val="center"/>
              <w:rPr>
                <w:rFonts w:ascii="宋体" w:hAnsi="宋体"/>
                <w:sz w:val="24"/>
              </w:rPr>
            </w:pPr>
            <w:r>
              <w:rPr>
                <w:rFonts w:ascii="宋体" w:hAnsi="宋体" w:hint="eastAsia"/>
                <w:sz w:val="24"/>
              </w:rPr>
              <w:t>持股比例</w:t>
            </w:r>
          </w:p>
        </w:tc>
        <w:tc>
          <w:tcPr>
            <w:tcW w:w="2835" w:type="dxa"/>
            <w:tcBorders>
              <w:top w:val="single" w:sz="6" w:space="0" w:color="auto"/>
              <w:left w:val="nil"/>
              <w:bottom w:val="single" w:sz="6" w:space="0" w:color="auto"/>
              <w:right w:val="single" w:sz="6" w:space="0" w:color="auto"/>
            </w:tcBorders>
            <w:shd w:val="clear" w:color="auto" w:fill="FFF2CC"/>
            <w:tcMar>
              <w:left w:w="105" w:type="dxa"/>
              <w:right w:w="105" w:type="dxa"/>
            </w:tcMar>
            <w:vAlign w:val="center"/>
          </w:tcPr>
          <w:p w14:paraId="47CA89B1" w14:textId="77777777" w:rsidR="00F30DB3" w:rsidRDefault="00F30DB3" w:rsidP="009148E2">
            <w:pPr>
              <w:spacing w:line="360" w:lineRule="auto"/>
              <w:jc w:val="center"/>
              <w:rPr>
                <w:rFonts w:ascii="宋体" w:hAnsi="宋体"/>
                <w:sz w:val="24"/>
              </w:rPr>
            </w:pPr>
            <w:r>
              <w:rPr>
                <w:rFonts w:ascii="宋体" w:hAnsi="宋体" w:hint="eastAsia"/>
                <w:sz w:val="24"/>
              </w:rPr>
              <w:t>认缴出资(万元)</w:t>
            </w:r>
          </w:p>
        </w:tc>
      </w:tr>
      <w:tr w:rsidR="00F30DB3" w14:paraId="4C9562E8" w14:textId="77777777" w:rsidTr="009148E2">
        <w:trPr>
          <w:trHeight w:val="545"/>
        </w:trPr>
        <w:tc>
          <w:tcPr>
            <w:tcW w:w="1842" w:type="dxa"/>
            <w:tcBorders>
              <w:top w:val="nil"/>
              <w:left w:val="single" w:sz="6" w:space="0" w:color="auto"/>
              <w:bottom w:val="single" w:sz="6" w:space="0" w:color="auto"/>
              <w:right w:val="single" w:sz="6" w:space="0" w:color="auto"/>
            </w:tcBorders>
            <w:shd w:val="clear" w:color="auto" w:fill="FFFFFF"/>
            <w:tcMar>
              <w:left w:w="105" w:type="dxa"/>
              <w:right w:w="105" w:type="dxa"/>
            </w:tcMar>
            <w:vAlign w:val="center"/>
          </w:tcPr>
          <w:p w14:paraId="6DD31BD9" w14:textId="77777777" w:rsidR="00F30DB3" w:rsidRDefault="00F30DB3" w:rsidP="009148E2">
            <w:pPr>
              <w:spacing w:line="360" w:lineRule="auto"/>
              <w:jc w:val="center"/>
              <w:rPr>
                <w:rFonts w:ascii="宋体" w:hAnsi="宋体"/>
                <w:sz w:val="24"/>
              </w:rPr>
            </w:pPr>
            <w:r>
              <w:rPr>
                <w:rFonts w:ascii="宋体" w:hAnsi="宋体" w:hint="eastAsia"/>
                <w:sz w:val="24"/>
              </w:rPr>
              <w:t>甲方</w:t>
            </w:r>
          </w:p>
        </w:tc>
        <w:tc>
          <w:tcPr>
            <w:tcW w:w="2410" w:type="dxa"/>
            <w:tcBorders>
              <w:top w:val="nil"/>
              <w:left w:val="nil"/>
              <w:bottom w:val="single" w:sz="6" w:space="0" w:color="auto"/>
              <w:right w:val="single" w:sz="6" w:space="0" w:color="auto"/>
            </w:tcBorders>
            <w:shd w:val="clear" w:color="auto" w:fill="FFFFFF"/>
            <w:tcMar>
              <w:left w:w="105" w:type="dxa"/>
              <w:right w:w="105" w:type="dxa"/>
            </w:tcMar>
            <w:vAlign w:val="center"/>
          </w:tcPr>
          <w:p w14:paraId="56E05814" w14:textId="77777777" w:rsidR="00F30DB3" w:rsidRDefault="00F30DB3" w:rsidP="009148E2">
            <w:pPr>
              <w:spacing w:line="360" w:lineRule="auto"/>
              <w:jc w:val="center"/>
              <w:rPr>
                <w:rFonts w:ascii="宋体" w:hAnsi="宋体"/>
                <w:sz w:val="24"/>
              </w:rPr>
            </w:pPr>
            <w:r>
              <w:rPr>
                <w:rFonts w:ascii="宋体" w:hAnsi="宋体" w:hint="eastAsia"/>
                <w:sz w:val="24"/>
              </w:rPr>
              <w:t>60%</w:t>
            </w:r>
          </w:p>
        </w:tc>
        <w:tc>
          <w:tcPr>
            <w:tcW w:w="2835" w:type="dxa"/>
            <w:tcBorders>
              <w:top w:val="nil"/>
              <w:left w:val="nil"/>
              <w:bottom w:val="single" w:sz="6" w:space="0" w:color="auto"/>
              <w:right w:val="single" w:sz="6" w:space="0" w:color="auto"/>
            </w:tcBorders>
            <w:shd w:val="clear" w:color="auto" w:fill="FFFFFF"/>
            <w:tcMar>
              <w:left w:w="105" w:type="dxa"/>
              <w:right w:w="105" w:type="dxa"/>
            </w:tcMar>
            <w:vAlign w:val="center"/>
          </w:tcPr>
          <w:p w14:paraId="779FE808" w14:textId="77777777" w:rsidR="00F30DB3" w:rsidRDefault="00F30DB3" w:rsidP="009148E2">
            <w:pPr>
              <w:spacing w:line="360" w:lineRule="auto"/>
              <w:jc w:val="center"/>
              <w:rPr>
                <w:rFonts w:ascii="宋体" w:hAnsi="宋体"/>
                <w:sz w:val="24"/>
              </w:rPr>
            </w:pPr>
            <w:r>
              <w:rPr>
                <w:rFonts w:ascii="宋体" w:hAnsi="宋体" w:hint="eastAsia"/>
                <w:sz w:val="24"/>
              </w:rPr>
              <w:t>600</w:t>
            </w:r>
          </w:p>
        </w:tc>
      </w:tr>
      <w:tr w:rsidR="00F30DB3" w14:paraId="7F76585E" w14:textId="77777777" w:rsidTr="009148E2">
        <w:trPr>
          <w:trHeight w:val="553"/>
        </w:trPr>
        <w:tc>
          <w:tcPr>
            <w:tcW w:w="1842" w:type="dxa"/>
            <w:tcBorders>
              <w:top w:val="nil"/>
              <w:left w:val="single" w:sz="6" w:space="0" w:color="auto"/>
              <w:bottom w:val="single" w:sz="4" w:space="0" w:color="auto"/>
              <w:right w:val="single" w:sz="6" w:space="0" w:color="auto"/>
            </w:tcBorders>
            <w:shd w:val="clear" w:color="auto" w:fill="FFFFFF"/>
            <w:tcMar>
              <w:left w:w="105" w:type="dxa"/>
              <w:right w:w="105" w:type="dxa"/>
            </w:tcMar>
            <w:vAlign w:val="center"/>
          </w:tcPr>
          <w:p w14:paraId="1A003C9E" w14:textId="77777777" w:rsidR="00F30DB3" w:rsidRDefault="00F30DB3" w:rsidP="009148E2">
            <w:pPr>
              <w:spacing w:line="360" w:lineRule="auto"/>
              <w:jc w:val="center"/>
              <w:rPr>
                <w:rFonts w:ascii="宋体" w:hAnsi="宋体"/>
                <w:sz w:val="24"/>
              </w:rPr>
            </w:pPr>
            <w:r>
              <w:rPr>
                <w:rFonts w:ascii="宋体" w:hAnsi="宋体" w:hint="eastAsia"/>
                <w:sz w:val="24"/>
              </w:rPr>
              <w:t>乙方</w:t>
            </w:r>
          </w:p>
        </w:tc>
        <w:tc>
          <w:tcPr>
            <w:tcW w:w="2410" w:type="dxa"/>
            <w:tcBorders>
              <w:top w:val="nil"/>
              <w:left w:val="nil"/>
              <w:bottom w:val="single" w:sz="4" w:space="0" w:color="auto"/>
              <w:right w:val="single" w:sz="6" w:space="0" w:color="auto"/>
            </w:tcBorders>
            <w:shd w:val="clear" w:color="auto" w:fill="FFFFFF"/>
            <w:tcMar>
              <w:left w:w="105" w:type="dxa"/>
              <w:right w:w="105" w:type="dxa"/>
            </w:tcMar>
            <w:vAlign w:val="center"/>
          </w:tcPr>
          <w:p w14:paraId="1622472D" w14:textId="77777777" w:rsidR="00F30DB3" w:rsidRDefault="00F30DB3" w:rsidP="009148E2">
            <w:pPr>
              <w:spacing w:line="360" w:lineRule="auto"/>
              <w:jc w:val="center"/>
              <w:rPr>
                <w:rFonts w:ascii="宋体" w:hAnsi="宋体"/>
                <w:sz w:val="24"/>
              </w:rPr>
            </w:pPr>
            <w:r>
              <w:rPr>
                <w:rFonts w:ascii="宋体" w:hAnsi="宋体" w:hint="eastAsia"/>
                <w:sz w:val="24"/>
              </w:rPr>
              <w:t>40%</w:t>
            </w:r>
          </w:p>
        </w:tc>
        <w:tc>
          <w:tcPr>
            <w:tcW w:w="2835" w:type="dxa"/>
            <w:tcBorders>
              <w:top w:val="nil"/>
              <w:left w:val="nil"/>
              <w:bottom w:val="single" w:sz="4" w:space="0" w:color="auto"/>
              <w:right w:val="single" w:sz="6" w:space="0" w:color="auto"/>
            </w:tcBorders>
            <w:shd w:val="clear" w:color="auto" w:fill="FFFFFF"/>
            <w:tcMar>
              <w:left w:w="105" w:type="dxa"/>
              <w:right w:w="105" w:type="dxa"/>
            </w:tcMar>
            <w:vAlign w:val="center"/>
          </w:tcPr>
          <w:p w14:paraId="3C1151A7" w14:textId="77777777" w:rsidR="00F30DB3" w:rsidRDefault="00F30DB3" w:rsidP="009148E2">
            <w:pPr>
              <w:spacing w:line="360" w:lineRule="auto"/>
              <w:jc w:val="center"/>
              <w:rPr>
                <w:rFonts w:ascii="宋体" w:hAnsi="宋体"/>
                <w:sz w:val="24"/>
              </w:rPr>
            </w:pPr>
            <w:r>
              <w:rPr>
                <w:rFonts w:ascii="宋体" w:hAnsi="宋体" w:hint="eastAsia"/>
                <w:sz w:val="24"/>
              </w:rPr>
              <w:t>400</w:t>
            </w:r>
          </w:p>
        </w:tc>
      </w:tr>
      <w:tr w:rsidR="00F30DB3" w14:paraId="19BC2A19" w14:textId="77777777" w:rsidTr="009148E2">
        <w:trPr>
          <w:trHeight w:val="563"/>
        </w:trPr>
        <w:tc>
          <w:tcPr>
            <w:tcW w:w="1842" w:type="dxa"/>
            <w:tcBorders>
              <w:top w:val="single" w:sz="4" w:space="0" w:color="auto"/>
              <w:left w:val="single" w:sz="6" w:space="0" w:color="auto"/>
              <w:bottom w:val="single" w:sz="6" w:space="0" w:color="auto"/>
              <w:right w:val="single" w:sz="6" w:space="0" w:color="auto"/>
            </w:tcBorders>
            <w:shd w:val="clear" w:color="auto" w:fill="FFFFFF"/>
            <w:tcMar>
              <w:left w:w="105" w:type="dxa"/>
              <w:right w:w="105" w:type="dxa"/>
            </w:tcMar>
            <w:vAlign w:val="center"/>
          </w:tcPr>
          <w:p w14:paraId="7A291325" w14:textId="77777777" w:rsidR="00F30DB3" w:rsidRDefault="00F30DB3" w:rsidP="009148E2">
            <w:pPr>
              <w:spacing w:line="360" w:lineRule="auto"/>
              <w:jc w:val="center"/>
              <w:rPr>
                <w:rFonts w:ascii="宋体" w:hAnsi="宋体"/>
                <w:sz w:val="24"/>
              </w:rPr>
            </w:pPr>
            <w:r>
              <w:rPr>
                <w:rFonts w:ascii="宋体" w:hAnsi="宋体" w:hint="eastAsia"/>
                <w:sz w:val="24"/>
              </w:rPr>
              <w:t>合计</w:t>
            </w:r>
          </w:p>
        </w:tc>
        <w:tc>
          <w:tcPr>
            <w:tcW w:w="2410" w:type="dxa"/>
            <w:tcBorders>
              <w:top w:val="single" w:sz="4" w:space="0" w:color="auto"/>
              <w:left w:val="nil"/>
              <w:bottom w:val="single" w:sz="6" w:space="0" w:color="auto"/>
              <w:right w:val="single" w:sz="6" w:space="0" w:color="auto"/>
            </w:tcBorders>
            <w:shd w:val="clear" w:color="auto" w:fill="FFFFFF"/>
            <w:tcMar>
              <w:left w:w="105" w:type="dxa"/>
              <w:right w:w="105" w:type="dxa"/>
            </w:tcMar>
            <w:vAlign w:val="center"/>
          </w:tcPr>
          <w:p w14:paraId="14D05C2B" w14:textId="77777777" w:rsidR="00F30DB3" w:rsidRDefault="00F30DB3" w:rsidP="009148E2">
            <w:pPr>
              <w:spacing w:line="360" w:lineRule="auto"/>
              <w:jc w:val="center"/>
              <w:rPr>
                <w:rFonts w:ascii="宋体" w:hAnsi="宋体"/>
                <w:sz w:val="24"/>
              </w:rPr>
            </w:pPr>
            <w:r>
              <w:rPr>
                <w:rFonts w:ascii="宋体" w:hAnsi="宋体" w:hint="eastAsia"/>
                <w:sz w:val="24"/>
              </w:rPr>
              <w:t>1</w:t>
            </w:r>
            <w:r>
              <w:rPr>
                <w:rFonts w:ascii="宋体" w:hAnsi="宋体"/>
                <w:sz w:val="24"/>
              </w:rPr>
              <w:t>00%</w:t>
            </w:r>
          </w:p>
        </w:tc>
        <w:tc>
          <w:tcPr>
            <w:tcW w:w="2835" w:type="dxa"/>
            <w:tcBorders>
              <w:top w:val="single" w:sz="4" w:space="0" w:color="auto"/>
              <w:left w:val="nil"/>
              <w:bottom w:val="single" w:sz="6" w:space="0" w:color="auto"/>
              <w:right w:val="single" w:sz="6" w:space="0" w:color="auto"/>
            </w:tcBorders>
            <w:shd w:val="clear" w:color="auto" w:fill="FFFFFF"/>
            <w:tcMar>
              <w:left w:w="105" w:type="dxa"/>
              <w:right w:w="105" w:type="dxa"/>
            </w:tcMar>
            <w:vAlign w:val="center"/>
          </w:tcPr>
          <w:p w14:paraId="186C9C7D" w14:textId="77777777" w:rsidR="00F30DB3" w:rsidRDefault="00F30DB3" w:rsidP="009148E2">
            <w:pPr>
              <w:spacing w:line="360" w:lineRule="auto"/>
              <w:jc w:val="center"/>
              <w:rPr>
                <w:rFonts w:ascii="宋体" w:hAnsi="宋体"/>
                <w:sz w:val="24"/>
              </w:rPr>
            </w:pPr>
            <w:r>
              <w:rPr>
                <w:rFonts w:ascii="宋体" w:hAnsi="宋体" w:hint="eastAsia"/>
                <w:sz w:val="24"/>
              </w:rPr>
              <w:t>1000</w:t>
            </w:r>
          </w:p>
        </w:tc>
      </w:tr>
    </w:tbl>
    <w:p w14:paraId="65E4E6D0" w14:textId="78B28019" w:rsidR="00F30DB3" w:rsidRDefault="00F30DB3" w:rsidP="00A444B2">
      <w:pPr>
        <w:spacing w:line="360" w:lineRule="auto"/>
        <w:ind w:firstLineChars="200" w:firstLine="480"/>
        <w:rPr>
          <w:rFonts w:ascii="宋体" w:hAnsi="宋体"/>
          <w:sz w:val="24"/>
        </w:rPr>
      </w:pPr>
      <w:r>
        <w:rPr>
          <w:rFonts w:eastAsiaTheme="minorEastAsia"/>
          <w:sz w:val="24"/>
        </w:rPr>
        <w:t>3</w:t>
      </w:r>
      <w:r>
        <w:rPr>
          <w:rFonts w:eastAsiaTheme="minorEastAsia" w:hint="eastAsia"/>
          <w:sz w:val="24"/>
        </w:rPr>
        <w:t>、</w:t>
      </w:r>
      <w:r>
        <w:rPr>
          <w:rFonts w:ascii="宋体" w:hAnsi="宋体" w:hint="eastAsia"/>
          <w:sz w:val="24"/>
        </w:rPr>
        <w:t>按照实缴到资的金额享有股东分红、表决等各项股东权利。</w:t>
      </w:r>
    </w:p>
    <w:p w14:paraId="333F076C" w14:textId="77777777" w:rsidR="002E535A" w:rsidRDefault="00F30DB3" w:rsidP="00DB23CC">
      <w:pPr>
        <w:spacing w:line="360" w:lineRule="auto"/>
        <w:ind w:firstLineChars="200" w:firstLine="480"/>
        <w:rPr>
          <w:rFonts w:ascii="宋体" w:hAnsi="宋体"/>
          <w:sz w:val="24"/>
        </w:rPr>
      </w:pPr>
      <w:r>
        <w:rPr>
          <w:rFonts w:ascii="宋体" w:hAnsi="宋体"/>
          <w:sz w:val="24"/>
        </w:rPr>
        <w:t>4</w:t>
      </w:r>
      <w:r>
        <w:rPr>
          <w:rFonts w:ascii="宋体" w:hAnsi="宋体" w:hint="eastAsia"/>
          <w:sz w:val="24"/>
        </w:rPr>
        <w:t>、项目公司设股东会，股东会是公司的最高权力机构，股东会由全体股东组成；项目公司设立董事会，董事会成员为三名，其中甲方委派两名，乙方委派一名。董事长由甲方委派的人员担任，董事长为公司法定代表人；项目公司在初期不设监事会，仅设监事一名，由乙方委派的人员担任。项目公司总经理由甲方委派，并负责经营管理。</w:t>
      </w:r>
    </w:p>
    <w:p w14:paraId="1DB1AD52" w14:textId="572FAF3B" w:rsidR="00F30DB3" w:rsidRDefault="002E535A" w:rsidP="002E535A">
      <w:pPr>
        <w:spacing w:line="360" w:lineRule="auto"/>
        <w:ind w:firstLineChars="200" w:firstLine="480"/>
        <w:rPr>
          <w:rFonts w:ascii="宋体" w:hAnsi="宋体"/>
          <w:sz w:val="24"/>
        </w:rPr>
      </w:pPr>
      <w:r>
        <w:rPr>
          <w:rFonts w:eastAsiaTheme="minorEastAsia" w:hint="eastAsia"/>
          <w:sz w:val="24"/>
        </w:rPr>
        <w:t>5</w:t>
      </w:r>
      <w:r>
        <w:rPr>
          <w:rFonts w:eastAsiaTheme="minorEastAsia" w:hint="eastAsia"/>
          <w:sz w:val="24"/>
        </w:rPr>
        <w:t>、</w:t>
      </w:r>
      <w:r w:rsidRPr="00345C6F">
        <w:rPr>
          <w:rFonts w:ascii="宋体" w:hAnsi="宋体" w:hint="eastAsia"/>
          <w:sz w:val="24"/>
        </w:rPr>
        <w:t>项目公司经营过程中所需菇蛋白的原材料优先由乙方（或指定第三方）负责供应。</w:t>
      </w:r>
    </w:p>
    <w:p w14:paraId="40A627C3" w14:textId="69326A7C" w:rsidR="00DB23CC" w:rsidRDefault="00881524" w:rsidP="00DB23CC">
      <w:pPr>
        <w:spacing w:line="360" w:lineRule="auto"/>
        <w:ind w:firstLineChars="200" w:firstLine="480"/>
        <w:rPr>
          <w:rFonts w:ascii="宋体" w:hAnsi="宋体"/>
          <w:sz w:val="24"/>
        </w:rPr>
      </w:pPr>
      <w:r>
        <w:rPr>
          <w:rFonts w:ascii="宋体" w:hAnsi="宋体" w:hint="eastAsia"/>
          <w:sz w:val="24"/>
        </w:rPr>
        <w:t>6、</w:t>
      </w:r>
      <w:r w:rsidR="00DB23CC">
        <w:rPr>
          <w:rFonts w:ascii="宋体" w:hAnsi="宋体" w:hint="eastAsia"/>
          <w:sz w:val="24"/>
        </w:rPr>
        <w:t>本协议自各方签署之日起成立并生效。</w:t>
      </w:r>
    </w:p>
    <w:p w14:paraId="4E2C087D" w14:textId="63B8C4FF" w:rsidR="00DB23CC" w:rsidRDefault="00DB23CC" w:rsidP="00DB23CC">
      <w:pPr>
        <w:spacing w:line="360" w:lineRule="auto"/>
        <w:ind w:firstLineChars="200" w:firstLine="480"/>
        <w:rPr>
          <w:rFonts w:ascii="宋体" w:hAnsi="宋体"/>
          <w:sz w:val="24"/>
        </w:rPr>
      </w:pPr>
      <w:r>
        <w:rPr>
          <w:rFonts w:ascii="宋体" w:hAnsi="宋体" w:hint="eastAsia"/>
          <w:sz w:val="24"/>
        </w:rPr>
        <w:t>7、任何一方延期支付出资款超过七日的，应按迟延支付金额每日万分之五的标准向项目公司支付违约金。延期超过十五日的，本协议其他方有权解除本协议并根据实缴出资情况调整各方的股权比例</w:t>
      </w:r>
      <w:r w:rsidR="0029580F">
        <w:rPr>
          <w:rFonts w:ascii="宋体" w:hAnsi="宋体" w:hint="eastAsia"/>
          <w:sz w:val="24"/>
        </w:rPr>
        <w:t>。</w:t>
      </w:r>
    </w:p>
    <w:p w14:paraId="42489F5E" w14:textId="63F4C7E9" w:rsidR="0099797C" w:rsidRPr="005263F6" w:rsidRDefault="00DD1778" w:rsidP="00DB23CC">
      <w:pPr>
        <w:spacing w:line="360" w:lineRule="auto"/>
        <w:ind w:firstLineChars="200" w:firstLine="482"/>
        <w:rPr>
          <w:rFonts w:eastAsiaTheme="minorEastAsia"/>
          <w:b/>
          <w:sz w:val="24"/>
        </w:rPr>
      </w:pPr>
      <w:r w:rsidRPr="005263F6">
        <w:rPr>
          <w:rFonts w:eastAsiaTheme="minorEastAsia"/>
          <w:b/>
          <w:sz w:val="24"/>
        </w:rPr>
        <w:lastRenderedPageBreak/>
        <w:t>五</w:t>
      </w:r>
      <w:r w:rsidR="0099797C" w:rsidRPr="005263F6">
        <w:rPr>
          <w:rFonts w:eastAsiaTheme="minorEastAsia"/>
          <w:b/>
          <w:sz w:val="24"/>
        </w:rPr>
        <w:t>、对外投资的目的、存在的风险和对公司的影响</w:t>
      </w:r>
    </w:p>
    <w:p w14:paraId="7716A5CC" w14:textId="59000308" w:rsidR="0099797C" w:rsidRDefault="0099797C" w:rsidP="00344F52">
      <w:pPr>
        <w:spacing w:line="360" w:lineRule="auto"/>
        <w:ind w:firstLineChars="200" w:firstLine="480"/>
        <w:rPr>
          <w:rFonts w:eastAsiaTheme="minorEastAsia"/>
          <w:sz w:val="24"/>
        </w:rPr>
      </w:pPr>
      <w:r w:rsidRPr="00BE2832">
        <w:rPr>
          <w:rFonts w:eastAsiaTheme="minorEastAsia"/>
          <w:sz w:val="24"/>
        </w:rPr>
        <w:t>1</w:t>
      </w:r>
      <w:r w:rsidRPr="00BE2832">
        <w:rPr>
          <w:rFonts w:eastAsiaTheme="minorEastAsia"/>
          <w:sz w:val="24"/>
        </w:rPr>
        <w:t>、</w:t>
      </w:r>
      <w:r w:rsidR="00BD25FF" w:rsidRPr="00BE2832">
        <w:rPr>
          <w:rFonts w:eastAsiaTheme="minorEastAsia"/>
          <w:sz w:val="24"/>
        </w:rPr>
        <w:t>投资</w:t>
      </w:r>
      <w:r w:rsidRPr="00BE2832">
        <w:rPr>
          <w:rFonts w:eastAsiaTheme="minorEastAsia"/>
          <w:sz w:val="24"/>
        </w:rPr>
        <w:t>目的和对公司的影响</w:t>
      </w:r>
    </w:p>
    <w:p w14:paraId="6971489C" w14:textId="7F632C1A" w:rsidR="005D33CC" w:rsidRPr="003359FA" w:rsidRDefault="007B5E79" w:rsidP="005D33CC">
      <w:pPr>
        <w:spacing w:line="360" w:lineRule="auto"/>
        <w:ind w:firstLineChars="200" w:firstLine="480"/>
        <w:rPr>
          <w:rFonts w:ascii="宋体" w:hAnsi="宋体"/>
          <w:sz w:val="24"/>
        </w:rPr>
      </w:pPr>
      <w:r w:rsidRPr="003359FA">
        <w:rPr>
          <w:rFonts w:eastAsiaTheme="minorEastAsia" w:hint="eastAsia"/>
          <w:sz w:val="24"/>
        </w:rPr>
        <w:t>本次与爱逸食品设立的合资公司，拟进行植物</w:t>
      </w:r>
      <w:r w:rsidR="00384864" w:rsidRPr="003359FA">
        <w:rPr>
          <w:rFonts w:eastAsiaTheme="minorEastAsia" w:hint="eastAsia"/>
          <w:sz w:val="24"/>
        </w:rPr>
        <w:t>基</w:t>
      </w:r>
      <w:r w:rsidRPr="003359FA">
        <w:rPr>
          <w:rFonts w:eastAsiaTheme="minorEastAsia" w:hint="eastAsia"/>
          <w:sz w:val="24"/>
        </w:rPr>
        <w:t>（含菇蛋白）休闲食</w:t>
      </w:r>
      <w:r w:rsidR="00384864" w:rsidRPr="003359FA">
        <w:rPr>
          <w:rFonts w:eastAsiaTheme="minorEastAsia" w:hint="eastAsia"/>
          <w:sz w:val="24"/>
        </w:rPr>
        <w:t>品</w:t>
      </w:r>
      <w:r w:rsidRPr="003359FA">
        <w:rPr>
          <w:rFonts w:eastAsiaTheme="minorEastAsia" w:hint="eastAsia"/>
          <w:sz w:val="24"/>
        </w:rPr>
        <w:t>及其周边产品的研发、生产、销售。</w:t>
      </w:r>
      <w:r w:rsidR="00E95BD9" w:rsidRPr="003359FA">
        <w:rPr>
          <w:rFonts w:eastAsiaTheme="minorEastAsia" w:hint="eastAsia"/>
          <w:sz w:val="24"/>
        </w:rPr>
        <w:t>作为我国最大的食用菌生产企业，公司将为合资公</w:t>
      </w:r>
      <w:r w:rsidR="00E95BD9" w:rsidRPr="003359FA">
        <w:rPr>
          <w:rFonts w:ascii="宋体" w:hAnsi="宋体" w:hint="eastAsia"/>
          <w:sz w:val="24"/>
        </w:rPr>
        <w:t>司提供优质、安全、充足的食用菌</w:t>
      </w:r>
      <w:r w:rsidR="005D33CC" w:rsidRPr="003359FA">
        <w:rPr>
          <w:rFonts w:ascii="宋体" w:hAnsi="宋体" w:hint="eastAsia"/>
          <w:sz w:val="24"/>
        </w:rPr>
        <w:t>和</w:t>
      </w:r>
      <w:r w:rsidR="00E95BD9" w:rsidRPr="003359FA">
        <w:rPr>
          <w:rFonts w:ascii="宋体" w:hAnsi="宋体" w:hint="eastAsia"/>
          <w:sz w:val="24"/>
        </w:rPr>
        <w:t>菇蛋白</w:t>
      </w:r>
      <w:r w:rsidR="005D33CC" w:rsidRPr="003359FA">
        <w:rPr>
          <w:rFonts w:ascii="宋体" w:hAnsi="宋体" w:hint="eastAsia"/>
          <w:sz w:val="24"/>
        </w:rPr>
        <w:t>原料</w:t>
      </w:r>
      <w:r w:rsidR="00E95BD9" w:rsidRPr="003359FA">
        <w:rPr>
          <w:rFonts w:ascii="宋体" w:hAnsi="宋体" w:hint="eastAsia"/>
          <w:sz w:val="24"/>
        </w:rPr>
        <w:t>。爱逸食品作为我国知名的食品科技</w:t>
      </w:r>
      <w:r w:rsidR="00D01D76" w:rsidRPr="003359FA">
        <w:rPr>
          <w:rFonts w:ascii="宋体" w:hAnsi="宋体" w:hint="eastAsia"/>
          <w:sz w:val="24"/>
        </w:rPr>
        <w:t>准独角兽企业</w:t>
      </w:r>
      <w:r w:rsidR="00E95BD9" w:rsidRPr="003359FA">
        <w:rPr>
          <w:rFonts w:ascii="宋体" w:hAnsi="宋体" w:hint="eastAsia"/>
          <w:sz w:val="24"/>
        </w:rPr>
        <w:t>，</w:t>
      </w:r>
      <w:r w:rsidR="00E95BD9" w:rsidRPr="003359FA">
        <w:rPr>
          <w:rFonts w:ascii="宋体" w:hAnsi="宋体" w:cs="Arial"/>
          <w:sz w:val="24"/>
        </w:rPr>
        <w:t>专注</w:t>
      </w:r>
      <w:r w:rsidR="00E95BD9" w:rsidRPr="003359FA">
        <w:rPr>
          <w:rFonts w:ascii="宋体" w:hAnsi="宋体" w:cs="Arial" w:hint="eastAsia"/>
          <w:sz w:val="24"/>
        </w:rPr>
        <w:t>于</w:t>
      </w:r>
      <w:r w:rsidR="00E95BD9" w:rsidRPr="003359FA">
        <w:rPr>
          <w:rFonts w:ascii="宋体" w:hAnsi="宋体" w:cs="Arial"/>
          <w:sz w:val="24"/>
        </w:rPr>
        <w:t>消费升级与</w:t>
      </w:r>
      <w:r w:rsidR="005D33CC" w:rsidRPr="003359FA">
        <w:rPr>
          <w:rFonts w:ascii="宋体" w:hAnsi="宋体" w:cs="Arial" w:hint="eastAsia"/>
          <w:sz w:val="24"/>
        </w:rPr>
        <w:t>中</w:t>
      </w:r>
      <w:r w:rsidR="00E95BD9" w:rsidRPr="003359FA">
        <w:rPr>
          <w:rFonts w:ascii="宋体" w:hAnsi="宋体" w:cs="Arial"/>
          <w:sz w:val="24"/>
        </w:rPr>
        <w:t>高端食品的开发和运营</w:t>
      </w:r>
      <w:r w:rsidR="00E95BD9" w:rsidRPr="003359FA">
        <w:rPr>
          <w:rFonts w:ascii="宋体" w:hAnsi="宋体" w:cs="Arial" w:hint="eastAsia"/>
          <w:sz w:val="24"/>
        </w:rPr>
        <w:t>，已</w:t>
      </w:r>
      <w:r w:rsidR="00E95BD9" w:rsidRPr="003359FA">
        <w:rPr>
          <w:rFonts w:ascii="宋体" w:hAnsi="宋体" w:hint="eastAsia"/>
          <w:sz w:val="24"/>
        </w:rPr>
        <w:t>培育出多个风靡全网的爆款产品</w:t>
      </w:r>
      <w:r w:rsidR="00EC6B0C" w:rsidRPr="003359FA">
        <w:rPr>
          <w:rFonts w:ascii="宋体" w:hAnsi="宋体" w:hint="eastAsia"/>
          <w:sz w:val="24"/>
        </w:rPr>
        <w:t>，且在植物肉休闲零食研发有多年储备</w:t>
      </w:r>
      <w:r w:rsidR="00E95BD9" w:rsidRPr="003359FA">
        <w:rPr>
          <w:rFonts w:ascii="宋体" w:hAnsi="宋体" w:hint="eastAsia"/>
          <w:sz w:val="24"/>
        </w:rPr>
        <w:t>。</w:t>
      </w:r>
    </w:p>
    <w:p w14:paraId="7A926129" w14:textId="12100D41" w:rsidR="00D429CB" w:rsidRPr="003359FA" w:rsidRDefault="005D33CC" w:rsidP="004841AB">
      <w:pPr>
        <w:spacing w:line="360" w:lineRule="auto"/>
        <w:ind w:firstLineChars="200" w:firstLine="480"/>
        <w:rPr>
          <w:rFonts w:ascii="宋体" w:hAnsi="宋体"/>
          <w:sz w:val="24"/>
        </w:rPr>
      </w:pPr>
      <w:r w:rsidRPr="003359FA">
        <w:rPr>
          <w:rFonts w:ascii="宋体" w:hAnsi="宋体" w:hint="eastAsia"/>
          <w:sz w:val="24"/>
        </w:rPr>
        <w:t>本次投资对于双方在研发、生产、销售等方面均具有较强的协同效应，既可从原材料源头保障食品安全，也将为消费者提供</w:t>
      </w:r>
      <w:r w:rsidR="00D01D76" w:rsidRPr="003359FA">
        <w:rPr>
          <w:rFonts w:ascii="宋体" w:hAnsi="宋体" w:hint="eastAsia"/>
          <w:sz w:val="24"/>
        </w:rPr>
        <w:t>更健康的植物肉休闲食品</w:t>
      </w:r>
      <w:r w:rsidRPr="003359FA">
        <w:rPr>
          <w:rFonts w:ascii="宋体" w:hAnsi="宋体" w:hint="eastAsia"/>
          <w:sz w:val="24"/>
        </w:rPr>
        <w:t>，</w:t>
      </w:r>
      <w:r w:rsidR="00D01D76" w:rsidRPr="003359FA">
        <w:rPr>
          <w:rFonts w:ascii="宋体" w:hAnsi="宋体" w:hint="eastAsia"/>
          <w:sz w:val="24"/>
        </w:rPr>
        <w:t>更快实现植物肉</w:t>
      </w:r>
      <w:r w:rsidR="0077714F" w:rsidRPr="003359FA">
        <w:rPr>
          <w:rFonts w:ascii="宋体" w:hAnsi="宋体" w:hint="eastAsia"/>
          <w:sz w:val="24"/>
        </w:rPr>
        <w:t>休闲食品</w:t>
      </w:r>
      <w:r w:rsidR="00D01D76" w:rsidRPr="003359FA">
        <w:rPr>
          <w:rFonts w:ascii="宋体" w:hAnsi="宋体" w:hint="eastAsia"/>
          <w:sz w:val="24"/>
        </w:rPr>
        <w:t>的商品化。这</w:t>
      </w:r>
      <w:r w:rsidRPr="003359FA">
        <w:rPr>
          <w:rFonts w:ascii="宋体" w:hAnsi="宋体" w:hint="eastAsia"/>
          <w:sz w:val="24"/>
        </w:rPr>
        <w:t>是公司对食用菌精深加工以及健康休闲食品领域的进一步布局。未来公司将建立植物肉餐食产品及菇蛋白休闲食品共同发展的多层次产业布局，有利于公司进一步把握食品科技和健康消费的赛道机遇。</w:t>
      </w:r>
    </w:p>
    <w:p w14:paraId="0389FE9A" w14:textId="77777777" w:rsidR="00561663" w:rsidRPr="00BE2832" w:rsidRDefault="0099797C" w:rsidP="00570029">
      <w:pPr>
        <w:spacing w:line="360" w:lineRule="auto"/>
        <w:ind w:firstLineChars="200" w:firstLine="480"/>
        <w:rPr>
          <w:rFonts w:eastAsiaTheme="minorEastAsia"/>
          <w:sz w:val="24"/>
        </w:rPr>
      </w:pPr>
      <w:r w:rsidRPr="00BE2832">
        <w:rPr>
          <w:rFonts w:eastAsiaTheme="minorEastAsia"/>
          <w:sz w:val="24"/>
        </w:rPr>
        <w:t>2</w:t>
      </w:r>
      <w:r w:rsidRPr="00BE2832">
        <w:rPr>
          <w:rFonts w:eastAsiaTheme="minorEastAsia"/>
          <w:sz w:val="24"/>
        </w:rPr>
        <w:t>、存在的风险</w:t>
      </w:r>
    </w:p>
    <w:p w14:paraId="427E4AED" w14:textId="2CA37776" w:rsidR="00452062" w:rsidRPr="00BE2832" w:rsidRDefault="00D24E9C" w:rsidP="00570029">
      <w:pPr>
        <w:pStyle w:val="Default"/>
        <w:spacing w:line="360" w:lineRule="auto"/>
        <w:ind w:firstLineChars="200" w:firstLine="480"/>
        <w:jc w:val="both"/>
        <w:rPr>
          <w:rFonts w:ascii="Times New Roman" w:eastAsiaTheme="minorEastAsia" w:hAnsi="Times New Roman" w:cs="Times New Roman"/>
          <w:color w:val="auto"/>
          <w:kern w:val="2"/>
        </w:rPr>
      </w:pPr>
      <w:r w:rsidRPr="00BE2832">
        <w:rPr>
          <w:rFonts w:ascii="Times New Roman" w:eastAsiaTheme="minorEastAsia" w:hAnsi="Times New Roman" w:cs="Times New Roman"/>
          <w:color w:val="auto"/>
          <w:kern w:val="2"/>
        </w:rPr>
        <w:t>本次投资存在市场环境、运营管理等风险</w:t>
      </w:r>
      <w:r w:rsidR="00452062" w:rsidRPr="00BE2832">
        <w:rPr>
          <w:rFonts w:ascii="Times New Roman" w:eastAsiaTheme="minorEastAsia" w:hAnsi="Times New Roman" w:cs="Times New Roman"/>
          <w:color w:val="auto"/>
          <w:kern w:val="2"/>
        </w:rPr>
        <w:t>，</w:t>
      </w:r>
      <w:r w:rsidR="00C73DA2" w:rsidRPr="00BE2832">
        <w:rPr>
          <w:rFonts w:ascii="Times New Roman" w:eastAsiaTheme="minorEastAsia" w:hAnsi="Times New Roman" w:cs="Times New Roman" w:hint="eastAsia"/>
          <w:color w:val="auto"/>
          <w:kern w:val="2"/>
        </w:rPr>
        <w:t>该项目</w:t>
      </w:r>
      <w:r w:rsidR="006E27DA" w:rsidRPr="00BE2832">
        <w:rPr>
          <w:rFonts w:ascii="Times New Roman" w:eastAsiaTheme="minorEastAsia" w:hAnsi="Times New Roman" w:cs="Times New Roman"/>
          <w:color w:val="auto"/>
          <w:kern w:val="2"/>
        </w:rPr>
        <w:t>预计短期内不会对公司业绩产生重大影响。</w:t>
      </w:r>
      <w:r w:rsidR="00452062" w:rsidRPr="00BE2832">
        <w:rPr>
          <w:rFonts w:ascii="Times New Roman" w:eastAsiaTheme="minorEastAsia" w:hAnsi="Times New Roman" w:cs="Times New Roman"/>
          <w:color w:val="auto"/>
          <w:kern w:val="2"/>
        </w:rPr>
        <w:t>敬请广大投资者注意投资风险</w:t>
      </w:r>
      <w:r w:rsidRPr="00BE2832">
        <w:rPr>
          <w:rFonts w:ascii="Times New Roman" w:eastAsiaTheme="minorEastAsia" w:hAnsi="Times New Roman" w:cs="Times New Roman"/>
          <w:color w:val="auto"/>
          <w:kern w:val="2"/>
        </w:rPr>
        <w:t>。</w:t>
      </w:r>
    </w:p>
    <w:p w14:paraId="5FF8FD16" w14:textId="5342BDF5" w:rsidR="00DD1778" w:rsidRPr="005263F6" w:rsidRDefault="00D24E9C" w:rsidP="00570029">
      <w:pPr>
        <w:pStyle w:val="Default"/>
        <w:spacing w:line="360" w:lineRule="auto"/>
        <w:ind w:firstLineChars="200" w:firstLine="480"/>
        <w:jc w:val="both"/>
        <w:rPr>
          <w:rFonts w:ascii="Times New Roman" w:eastAsiaTheme="minorEastAsia" w:hAnsi="Times New Roman" w:cs="Times New Roman"/>
          <w:color w:val="auto"/>
          <w:kern w:val="2"/>
        </w:rPr>
      </w:pPr>
      <w:r w:rsidRPr="00BE2832">
        <w:rPr>
          <w:rFonts w:ascii="Times New Roman" w:eastAsiaTheme="minorEastAsia" w:hAnsi="Times New Roman" w:cs="Times New Roman"/>
          <w:color w:val="auto"/>
          <w:kern w:val="2"/>
        </w:rPr>
        <w:t>公司将密切关注其经营运作情况</w:t>
      </w:r>
      <w:r w:rsidR="00DD1778" w:rsidRPr="00BE2832">
        <w:rPr>
          <w:rFonts w:ascii="Times New Roman" w:eastAsiaTheme="minorEastAsia" w:hAnsi="Times New Roman" w:cs="Times New Roman"/>
          <w:color w:val="auto"/>
          <w:kern w:val="2"/>
        </w:rPr>
        <w:t>，并积极采取有效措施防范和控制风险。</w:t>
      </w:r>
    </w:p>
    <w:p w14:paraId="6E121619" w14:textId="77777777" w:rsidR="001B721F" w:rsidRPr="005263F6" w:rsidRDefault="00DD1778" w:rsidP="00DC2CBC">
      <w:pPr>
        <w:spacing w:beforeLines="50" w:before="156" w:line="360" w:lineRule="auto"/>
        <w:ind w:firstLineChars="200" w:firstLine="482"/>
        <w:rPr>
          <w:rFonts w:eastAsiaTheme="minorEastAsia"/>
          <w:b/>
          <w:sz w:val="24"/>
        </w:rPr>
      </w:pPr>
      <w:r w:rsidRPr="005263F6">
        <w:rPr>
          <w:rFonts w:eastAsiaTheme="minorEastAsia"/>
          <w:b/>
          <w:sz w:val="24"/>
        </w:rPr>
        <w:t>六</w:t>
      </w:r>
      <w:r w:rsidR="001B721F" w:rsidRPr="005263F6">
        <w:rPr>
          <w:rFonts w:eastAsiaTheme="minorEastAsia"/>
          <w:b/>
          <w:sz w:val="24"/>
        </w:rPr>
        <w:t>、备查文件</w:t>
      </w:r>
    </w:p>
    <w:p w14:paraId="46E6A682" w14:textId="7A75ACDD" w:rsidR="001B721F" w:rsidRPr="005263F6" w:rsidRDefault="004E2278" w:rsidP="00435312">
      <w:pPr>
        <w:pStyle w:val="Default"/>
        <w:spacing w:line="360" w:lineRule="auto"/>
        <w:ind w:firstLineChars="200" w:firstLine="480"/>
        <w:rPr>
          <w:rFonts w:ascii="Times New Roman" w:eastAsiaTheme="minorEastAsia" w:hAnsi="Times New Roman" w:cs="Times New Roman"/>
          <w:color w:val="auto"/>
          <w:kern w:val="2"/>
        </w:rPr>
      </w:pPr>
      <w:r w:rsidRPr="005263F6">
        <w:rPr>
          <w:rFonts w:ascii="Times New Roman" w:eastAsiaTheme="minorEastAsia" w:hAnsi="Times New Roman" w:cs="Times New Roman"/>
          <w:color w:val="auto"/>
          <w:kern w:val="2"/>
        </w:rPr>
        <w:t>1</w:t>
      </w:r>
      <w:r w:rsidR="001B721F" w:rsidRPr="005263F6">
        <w:rPr>
          <w:rFonts w:ascii="Times New Roman" w:eastAsiaTheme="minorEastAsia" w:hAnsi="Times New Roman" w:cs="Times New Roman"/>
          <w:color w:val="auto"/>
          <w:kern w:val="2"/>
        </w:rPr>
        <w:t>、</w:t>
      </w:r>
      <w:r w:rsidR="001967D3">
        <w:rPr>
          <w:rFonts w:ascii="Times New Roman" w:eastAsiaTheme="minorEastAsia" w:hAnsi="Times New Roman" w:cs="Times New Roman" w:hint="eastAsia"/>
          <w:color w:val="auto"/>
          <w:kern w:val="2"/>
        </w:rPr>
        <w:t>投资</w:t>
      </w:r>
      <w:r w:rsidR="008258AB" w:rsidRPr="005263F6">
        <w:rPr>
          <w:rFonts w:ascii="Times New Roman" w:eastAsiaTheme="minorEastAsia" w:hAnsi="Times New Roman" w:cs="Times New Roman"/>
          <w:color w:val="auto"/>
          <w:kern w:val="2"/>
        </w:rPr>
        <w:t>协议</w:t>
      </w:r>
      <w:r w:rsidR="004841AB">
        <w:rPr>
          <w:rFonts w:ascii="Times New Roman" w:eastAsiaTheme="minorEastAsia" w:hAnsi="Times New Roman" w:cs="Times New Roman" w:hint="eastAsia"/>
          <w:color w:val="auto"/>
          <w:kern w:val="2"/>
        </w:rPr>
        <w:t>。</w:t>
      </w:r>
    </w:p>
    <w:p w14:paraId="2E7A2D4F" w14:textId="77777777" w:rsidR="004841AB" w:rsidRDefault="004841AB" w:rsidP="00DD1778">
      <w:pPr>
        <w:pStyle w:val="Default"/>
        <w:spacing w:line="360" w:lineRule="auto"/>
        <w:ind w:firstLineChars="200" w:firstLine="480"/>
        <w:rPr>
          <w:rFonts w:ascii="Times New Roman" w:eastAsiaTheme="minorEastAsia" w:hAnsi="Times New Roman" w:cs="Times New Roman"/>
          <w:color w:val="auto"/>
          <w:kern w:val="2"/>
        </w:rPr>
      </w:pPr>
    </w:p>
    <w:p w14:paraId="198E9296" w14:textId="20F33D0F" w:rsidR="001B721F" w:rsidRPr="005263F6" w:rsidRDefault="001B721F" w:rsidP="00DD1778">
      <w:pPr>
        <w:pStyle w:val="Default"/>
        <w:spacing w:line="360" w:lineRule="auto"/>
        <w:ind w:firstLineChars="200" w:firstLine="480"/>
        <w:rPr>
          <w:rFonts w:ascii="Times New Roman" w:eastAsiaTheme="minorEastAsia" w:hAnsi="Times New Roman" w:cs="Times New Roman"/>
          <w:color w:val="auto"/>
          <w:kern w:val="2"/>
        </w:rPr>
      </w:pPr>
      <w:r w:rsidRPr="005263F6">
        <w:rPr>
          <w:rFonts w:ascii="Times New Roman" w:eastAsiaTheme="minorEastAsia" w:hAnsi="Times New Roman" w:cs="Times New Roman"/>
          <w:color w:val="auto"/>
          <w:kern w:val="2"/>
        </w:rPr>
        <w:t>特此公告。</w:t>
      </w:r>
    </w:p>
    <w:p w14:paraId="0D9A314D" w14:textId="5E84328D" w:rsidR="009D2E1C" w:rsidRPr="005263F6" w:rsidRDefault="009D2E1C" w:rsidP="00344F52">
      <w:pPr>
        <w:autoSpaceDE w:val="0"/>
        <w:autoSpaceDN w:val="0"/>
        <w:adjustRightInd w:val="0"/>
        <w:spacing w:line="360" w:lineRule="auto"/>
        <w:jc w:val="left"/>
        <w:rPr>
          <w:rFonts w:eastAsiaTheme="minorEastAsia"/>
          <w:sz w:val="24"/>
        </w:rPr>
      </w:pPr>
    </w:p>
    <w:p w14:paraId="7C4EAB09" w14:textId="77777777" w:rsidR="00FE063C" w:rsidRPr="005263F6" w:rsidRDefault="00FE063C" w:rsidP="00344F52">
      <w:pPr>
        <w:autoSpaceDE w:val="0"/>
        <w:autoSpaceDN w:val="0"/>
        <w:adjustRightInd w:val="0"/>
        <w:spacing w:line="360" w:lineRule="auto"/>
        <w:jc w:val="left"/>
        <w:rPr>
          <w:rFonts w:eastAsiaTheme="minorEastAsia"/>
          <w:sz w:val="24"/>
        </w:rPr>
      </w:pPr>
    </w:p>
    <w:p w14:paraId="6F622246" w14:textId="77777777" w:rsidR="001B721F" w:rsidRPr="005263F6" w:rsidRDefault="001B721F" w:rsidP="00344F52">
      <w:pPr>
        <w:autoSpaceDE w:val="0"/>
        <w:autoSpaceDN w:val="0"/>
        <w:adjustRightInd w:val="0"/>
        <w:spacing w:line="360" w:lineRule="auto"/>
        <w:jc w:val="right"/>
        <w:rPr>
          <w:rFonts w:eastAsiaTheme="minorEastAsia"/>
          <w:sz w:val="24"/>
        </w:rPr>
      </w:pPr>
      <w:r w:rsidRPr="005263F6">
        <w:rPr>
          <w:rFonts w:eastAsiaTheme="minorEastAsia"/>
          <w:sz w:val="24"/>
        </w:rPr>
        <w:t>上海雪榕生物科技股份有限公司</w:t>
      </w:r>
      <w:r w:rsidRPr="005263F6">
        <w:rPr>
          <w:rFonts w:eastAsiaTheme="minorEastAsia"/>
          <w:sz w:val="24"/>
        </w:rPr>
        <w:t xml:space="preserve"> </w:t>
      </w:r>
    </w:p>
    <w:p w14:paraId="22C9C653" w14:textId="77777777" w:rsidR="001B721F" w:rsidRPr="003A2837" w:rsidRDefault="001B721F" w:rsidP="00344F52">
      <w:pPr>
        <w:autoSpaceDE w:val="0"/>
        <w:autoSpaceDN w:val="0"/>
        <w:adjustRightInd w:val="0"/>
        <w:spacing w:line="360" w:lineRule="auto"/>
        <w:jc w:val="right"/>
        <w:rPr>
          <w:rFonts w:eastAsiaTheme="minorEastAsia"/>
          <w:sz w:val="24"/>
        </w:rPr>
      </w:pPr>
      <w:r w:rsidRPr="003A2837">
        <w:rPr>
          <w:rFonts w:eastAsiaTheme="minorEastAsia"/>
          <w:sz w:val="24"/>
        </w:rPr>
        <w:t>董事会</w:t>
      </w:r>
      <w:r w:rsidRPr="003A2837">
        <w:rPr>
          <w:rFonts w:eastAsiaTheme="minorEastAsia"/>
          <w:sz w:val="24"/>
        </w:rPr>
        <w:t xml:space="preserve"> </w:t>
      </w:r>
    </w:p>
    <w:p w14:paraId="31CA3166" w14:textId="46EC40EA" w:rsidR="008D32BB" w:rsidRPr="003A2837" w:rsidRDefault="00DD1778" w:rsidP="00DD1778">
      <w:pPr>
        <w:spacing w:line="360" w:lineRule="auto"/>
        <w:jc w:val="right"/>
        <w:rPr>
          <w:rFonts w:eastAsiaTheme="minorEastAsia"/>
          <w:sz w:val="24"/>
        </w:rPr>
      </w:pPr>
      <w:r w:rsidRPr="003A2837">
        <w:rPr>
          <w:rFonts w:eastAsiaTheme="minorEastAsia"/>
          <w:sz w:val="24"/>
        </w:rPr>
        <w:t>20</w:t>
      </w:r>
      <w:r w:rsidR="004E2278" w:rsidRPr="003A2837">
        <w:rPr>
          <w:rFonts w:eastAsiaTheme="minorEastAsia"/>
          <w:sz w:val="24"/>
        </w:rPr>
        <w:t>20</w:t>
      </w:r>
      <w:r w:rsidR="001B721F" w:rsidRPr="003A2837">
        <w:rPr>
          <w:rFonts w:eastAsiaTheme="minorEastAsia"/>
          <w:sz w:val="24"/>
        </w:rPr>
        <w:t>年</w:t>
      </w:r>
      <w:r w:rsidR="004E2278" w:rsidRPr="003A2837">
        <w:rPr>
          <w:rFonts w:eastAsiaTheme="minorEastAsia"/>
          <w:sz w:val="24"/>
        </w:rPr>
        <w:t>7</w:t>
      </w:r>
      <w:r w:rsidR="001B721F" w:rsidRPr="003A2837">
        <w:rPr>
          <w:rFonts w:eastAsiaTheme="minorEastAsia"/>
          <w:sz w:val="24"/>
        </w:rPr>
        <w:t>月</w:t>
      </w:r>
      <w:r w:rsidR="001967D3" w:rsidRPr="003A2837">
        <w:rPr>
          <w:rFonts w:eastAsiaTheme="minorEastAsia"/>
          <w:sz w:val="24"/>
        </w:rPr>
        <w:t>1</w:t>
      </w:r>
      <w:r w:rsidR="006E55C2" w:rsidRPr="003A2837">
        <w:rPr>
          <w:rFonts w:eastAsiaTheme="minorEastAsia" w:hint="eastAsia"/>
          <w:sz w:val="24"/>
        </w:rPr>
        <w:t>4</w:t>
      </w:r>
      <w:r w:rsidR="001B721F" w:rsidRPr="003A2837">
        <w:rPr>
          <w:rFonts w:eastAsiaTheme="minorEastAsia"/>
          <w:sz w:val="24"/>
        </w:rPr>
        <w:t>日</w:t>
      </w:r>
    </w:p>
    <w:sectPr w:rsidR="008D32BB" w:rsidRPr="003A2837" w:rsidSect="00B43AD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D27FC0" w14:textId="77777777" w:rsidR="00B1083C" w:rsidRDefault="00B1083C" w:rsidP="0015258E">
      <w:r>
        <w:separator/>
      </w:r>
    </w:p>
  </w:endnote>
  <w:endnote w:type="continuationSeparator" w:id="0">
    <w:p w14:paraId="42BC5765" w14:textId="77777777" w:rsidR="00B1083C" w:rsidRDefault="00B1083C" w:rsidP="00152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楷体_GB2312">
    <w:altName w:val="楷体"/>
    <w:charset w:val="00"/>
    <w:family w:val="modern"/>
    <w:pitch w:val="default"/>
    <w:sig w:usb0="00000000" w:usb1="0000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KaiTi">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044355" w14:textId="77777777" w:rsidR="00B1083C" w:rsidRDefault="00B1083C" w:rsidP="0015258E">
      <w:r>
        <w:separator/>
      </w:r>
    </w:p>
  </w:footnote>
  <w:footnote w:type="continuationSeparator" w:id="0">
    <w:p w14:paraId="28BB9236" w14:textId="77777777" w:rsidR="00B1083C" w:rsidRDefault="00B1083C" w:rsidP="001525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C1733A"/>
    <w:multiLevelType w:val="hybridMultilevel"/>
    <w:tmpl w:val="E1B8DF52"/>
    <w:lvl w:ilvl="0" w:tplc="D90A12EA">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15:restartNumberingAfterBreak="0">
    <w:nsid w:val="400C47E9"/>
    <w:multiLevelType w:val="hybridMultilevel"/>
    <w:tmpl w:val="CF14C20E"/>
    <w:lvl w:ilvl="0" w:tplc="0568CFC8">
      <w:start w:val="1"/>
      <w:numFmt w:val="decimal"/>
      <w:lvlText w:val="第%1条"/>
      <w:lvlJc w:val="left"/>
      <w:pPr>
        <w:ind w:left="1290" w:hanging="420"/>
      </w:pPr>
      <w:rPr>
        <w:rFonts w:hint="default"/>
      </w:rPr>
    </w:lvl>
    <w:lvl w:ilvl="1" w:tplc="04090019" w:tentative="1">
      <w:start w:val="1"/>
      <w:numFmt w:val="lowerLetter"/>
      <w:lvlText w:val="%2)"/>
      <w:lvlJc w:val="left"/>
      <w:pPr>
        <w:ind w:left="1710" w:hanging="420"/>
      </w:pPr>
    </w:lvl>
    <w:lvl w:ilvl="2" w:tplc="0409001B" w:tentative="1">
      <w:start w:val="1"/>
      <w:numFmt w:val="lowerRoman"/>
      <w:lvlText w:val="%3."/>
      <w:lvlJc w:val="right"/>
      <w:pPr>
        <w:ind w:left="2130" w:hanging="420"/>
      </w:pPr>
    </w:lvl>
    <w:lvl w:ilvl="3" w:tplc="0409000F" w:tentative="1">
      <w:start w:val="1"/>
      <w:numFmt w:val="decimal"/>
      <w:lvlText w:val="%4."/>
      <w:lvlJc w:val="left"/>
      <w:pPr>
        <w:ind w:left="2550" w:hanging="420"/>
      </w:pPr>
    </w:lvl>
    <w:lvl w:ilvl="4" w:tplc="04090019" w:tentative="1">
      <w:start w:val="1"/>
      <w:numFmt w:val="lowerLetter"/>
      <w:lvlText w:val="%5)"/>
      <w:lvlJc w:val="left"/>
      <w:pPr>
        <w:ind w:left="2970" w:hanging="420"/>
      </w:pPr>
    </w:lvl>
    <w:lvl w:ilvl="5" w:tplc="0409001B" w:tentative="1">
      <w:start w:val="1"/>
      <w:numFmt w:val="lowerRoman"/>
      <w:lvlText w:val="%6."/>
      <w:lvlJc w:val="right"/>
      <w:pPr>
        <w:ind w:left="3390" w:hanging="420"/>
      </w:pPr>
    </w:lvl>
    <w:lvl w:ilvl="6" w:tplc="0409000F" w:tentative="1">
      <w:start w:val="1"/>
      <w:numFmt w:val="decimal"/>
      <w:lvlText w:val="%7."/>
      <w:lvlJc w:val="left"/>
      <w:pPr>
        <w:ind w:left="3810" w:hanging="420"/>
      </w:pPr>
    </w:lvl>
    <w:lvl w:ilvl="7" w:tplc="04090019" w:tentative="1">
      <w:start w:val="1"/>
      <w:numFmt w:val="lowerLetter"/>
      <w:lvlText w:val="%8)"/>
      <w:lvlJc w:val="left"/>
      <w:pPr>
        <w:ind w:left="4230" w:hanging="420"/>
      </w:pPr>
    </w:lvl>
    <w:lvl w:ilvl="8" w:tplc="0409001B" w:tentative="1">
      <w:start w:val="1"/>
      <w:numFmt w:val="lowerRoman"/>
      <w:lvlText w:val="%9."/>
      <w:lvlJc w:val="right"/>
      <w:pPr>
        <w:ind w:left="4650" w:hanging="420"/>
      </w:pPr>
    </w:lvl>
  </w:abstractNum>
  <w:abstractNum w:abstractNumId="2" w15:restartNumberingAfterBreak="0">
    <w:nsid w:val="516C5E0D"/>
    <w:multiLevelType w:val="hybridMultilevel"/>
    <w:tmpl w:val="B99AC1A8"/>
    <w:lvl w:ilvl="0" w:tplc="1C8C879A">
      <w:start w:val="1"/>
      <w:numFmt w:val="decimal"/>
      <w:lvlText w:val="%1、"/>
      <w:lvlJc w:val="left"/>
      <w:pPr>
        <w:ind w:left="842" w:hanging="36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3" w15:restartNumberingAfterBreak="0">
    <w:nsid w:val="5BE5275A"/>
    <w:multiLevelType w:val="hybridMultilevel"/>
    <w:tmpl w:val="C8B42F78"/>
    <w:lvl w:ilvl="0" w:tplc="C90E915E">
      <w:start w:val="2"/>
      <w:numFmt w:val="japaneseCounting"/>
      <w:lvlText w:val="%1、"/>
      <w:lvlJc w:val="left"/>
      <w:pPr>
        <w:ind w:left="1097" w:hanging="495"/>
      </w:pPr>
      <w:rPr>
        <w:rFonts w:hint="default"/>
      </w:rPr>
    </w:lvl>
    <w:lvl w:ilvl="1" w:tplc="5B2C1A60">
      <w:start w:val="2"/>
      <w:numFmt w:val="decimal"/>
      <w:lvlText w:val="%2、"/>
      <w:lvlJc w:val="left"/>
      <w:pPr>
        <w:ind w:left="1382" w:hanging="360"/>
      </w:pPr>
      <w:rPr>
        <w:rFonts w:hint="default"/>
      </w:rPr>
    </w:lvl>
    <w:lvl w:ilvl="2" w:tplc="0409001B" w:tentative="1">
      <w:start w:val="1"/>
      <w:numFmt w:val="lowerRoman"/>
      <w:lvlText w:val="%3."/>
      <w:lvlJc w:val="right"/>
      <w:pPr>
        <w:ind w:left="1862" w:hanging="420"/>
      </w:pPr>
    </w:lvl>
    <w:lvl w:ilvl="3" w:tplc="0409000F" w:tentative="1">
      <w:start w:val="1"/>
      <w:numFmt w:val="decimal"/>
      <w:lvlText w:val="%4."/>
      <w:lvlJc w:val="left"/>
      <w:pPr>
        <w:ind w:left="2282" w:hanging="420"/>
      </w:pPr>
    </w:lvl>
    <w:lvl w:ilvl="4" w:tplc="04090019" w:tentative="1">
      <w:start w:val="1"/>
      <w:numFmt w:val="lowerLetter"/>
      <w:lvlText w:val="%5)"/>
      <w:lvlJc w:val="left"/>
      <w:pPr>
        <w:ind w:left="2702" w:hanging="420"/>
      </w:pPr>
    </w:lvl>
    <w:lvl w:ilvl="5" w:tplc="0409001B" w:tentative="1">
      <w:start w:val="1"/>
      <w:numFmt w:val="lowerRoman"/>
      <w:lvlText w:val="%6."/>
      <w:lvlJc w:val="right"/>
      <w:pPr>
        <w:ind w:left="3122" w:hanging="420"/>
      </w:pPr>
    </w:lvl>
    <w:lvl w:ilvl="6" w:tplc="0409000F" w:tentative="1">
      <w:start w:val="1"/>
      <w:numFmt w:val="decimal"/>
      <w:lvlText w:val="%7."/>
      <w:lvlJc w:val="left"/>
      <w:pPr>
        <w:ind w:left="3542" w:hanging="420"/>
      </w:pPr>
    </w:lvl>
    <w:lvl w:ilvl="7" w:tplc="04090019" w:tentative="1">
      <w:start w:val="1"/>
      <w:numFmt w:val="lowerLetter"/>
      <w:lvlText w:val="%8)"/>
      <w:lvlJc w:val="left"/>
      <w:pPr>
        <w:ind w:left="3962" w:hanging="420"/>
      </w:pPr>
    </w:lvl>
    <w:lvl w:ilvl="8" w:tplc="0409001B" w:tentative="1">
      <w:start w:val="1"/>
      <w:numFmt w:val="lowerRoman"/>
      <w:lvlText w:val="%9."/>
      <w:lvlJc w:val="right"/>
      <w:pPr>
        <w:ind w:left="4382" w:hanging="420"/>
      </w:pPr>
    </w:lvl>
  </w:abstractNum>
  <w:abstractNum w:abstractNumId="4" w15:restartNumberingAfterBreak="0">
    <w:nsid w:val="63C0193E"/>
    <w:multiLevelType w:val="hybridMultilevel"/>
    <w:tmpl w:val="DFBA6B6E"/>
    <w:lvl w:ilvl="0" w:tplc="C64ABDC0">
      <w:start w:val="3"/>
      <w:numFmt w:val="decimal"/>
      <w:lvlText w:val="%1、"/>
      <w:lvlJc w:val="left"/>
      <w:pPr>
        <w:ind w:left="806" w:hanging="360"/>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5" w15:restartNumberingAfterBreak="0">
    <w:nsid w:val="63F62C8D"/>
    <w:multiLevelType w:val="hybridMultilevel"/>
    <w:tmpl w:val="FBD840D6"/>
    <w:lvl w:ilvl="0" w:tplc="C2EC8A2A">
      <w:start w:val="4"/>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15:restartNumberingAfterBreak="0">
    <w:nsid w:val="66CB4C6F"/>
    <w:multiLevelType w:val="hybridMultilevel"/>
    <w:tmpl w:val="2FE25722"/>
    <w:lvl w:ilvl="0" w:tplc="78FCD3E2">
      <w:start w:val="5"/>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6FC40E1B"/>
    <w:multiLevelType w:val="hybridMultilevel"/>
    <w:tmpl w:val="820EE904"/>
    <w:lvl w:ilvl="0" w:tplc="CF84B280">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75B61E72"/>
    <w:multiLevelType w:val="multilevel"/>
    <w:tmpl w:val="75B61E72"/>
    <w:lvl w:ilvl="0">
      <w:start w:val="1"/>
      <w:numFmt w:val="chineseCountingThousand"/>
      <w:lvlText w:val="第%1条"/>
      <w:lvlJc w:val="left"/>
      <w:pPr>
        <w:tabs>
          <w:tab w:val="num" w:pos="680"/>
        </w:tabs>
        <w:ind w:left="680" w:hanging="680"/>
      </w:pPr>
      <w:rPr>
        <w:rFonts w:ascii="楷体_GB2312" w:eastAsia="楷体_GB2312" w:hAnsi="宋体" w:cs="Times New Roman" w:hint="eastAsia"/>
        <w:b/>
        <w:i w:val="0"/>
        <w:sz w:val="24"/>
        <w:szCs w:val="24"/>
      </w:rPr>
    </w:lvl>
    <w:lvl w:ilvl="1">
      <w:start w:val="1"/>
      <w:numFmt w:val="chineseCountingThousand"/>
      <w:isLgl/>
      <w:lvlText w:val="%1.%2"/>
      <w:lvlJc w:val="left"/>
      <w:pPr>
        <w:tabs>
          <w:tab w:val="num" w:pos="680"/>
        </w:tabs>
        <w:ind w:left="0" w:firstLine="0"/>
      </w:pPr>
      <w:rPr>
        <w:rFonts w:ascii="Times New Roman" w:eastAsia="宋体" w:hAnsi="Times New Roman" w:cs="Times New Roman" w:hint="default"/>
        <w:b w:val="0"/>
        <w:i w:val="0"/>
        <w:sz w:val="21"/>
        <w:szCs w:val="21"/>
      </w:rPr>
    </w:lvl>
    <w:lvl w:ilvl="2">
      <w:start w:val="1"/>
      <w:numFmt w:val="decimal"/>
      <w:isLgl/>
      <w:lvlText w:val="%1.%2.%3"/>
      <w:lvlJc w:val="left"/>
      <w:pPr>
        <w:tabs>
          <w:tab w:val="num" w:pos="340"/>
        </w:tabs>
        <w:ind w:left="680" w:hanging="226"/>
      </w:pPr>
      <w:rPr>
        <w:rFonts w:ascii="Times New Roman" w:eastAsia="宋体" w:hAnsi="Times New Roman" w:cs="Times New Roman" w:hint="default"/>
        <w:b w:val="0"/>
        <w:i w:val="0"/>
        <w:sz w:val="21"/>
        <w:szCs w:val="21"/>
      </w:rPr>
    </w:lvl>
    <w:lvl w:ilvl="3">
      <w:start w:val="1"/>
      <w:numFmt w:val="decimal"/>
      <w:lvlText w:val="(%4)"/>
      <w:lvlJc w:val="left"/>
      <w:pPr>
        <w:tabs>
          <w:tab w:val="num" w:pos="994"/>
        </w:tabs>
        <w:ind w:left="1220" w:hanging="680"/>
      </w:pPr>
      <w:rPr>
        <w:rFonts w:ascii="Times New Roman" w:eastAsia="宋体" w:hAnsi="Times New Roman" w:cs="Times New Roman"/>
        <w:sz w:val="24"/>
        <w:szCs w:val="21"/>
      </w:rPr>
    </w:lvl>
    <w:lvl w:ilvl="4">
      <w:start w:val="1"/>
      <w:numFmt w:val="decimalEnclosedCircle"/>
      <w:lvlText w:val="%5"/>
      <w:lvlJc w:val="left"/>
      <w:pPr>
        <w:tabs>
          <w:tab w:val="num" w:pos="2608"/>
        </w:tabs>
        <w:ind w:left="2608" w:hanging="567"/>
      </w:pPr>
      <w:rPr>
        <w:rFonts w:ascii="宋体" w:eastAsia="宋体" w:hAnsi="宋体" w:cs="Times New Roman" w:hint="default"/>
        <w:sz w:val="21"/>
        <w:szCs w:val="21"/>
      </w:rPr>
    </w:lvl>
    <w:lvl w:ilvl="5">
      <w:start w:val="1"/>
      <w:numFmt w:val="lowerLetter"/>
      <w:lvlText w:val="%6)"/>
      <w:lvlJc w:val="left"/>
      <w:pPr>
        <w:tabs>
          <w:tab w:val="num" w:pos="3289"/>
        </w:tabs>
        <w:ind w:left="3289" w:hanging="681"/>
      </w:pPr>
      <w:rPr>
        <w:rFonts w:hint="eastAsia"/>
      </w:rPr>
    </w:lvl>
    <w:lvl w:ilvl="6">
      <w:start w:val="1"/>
      <w:numFmt w:val="none"/>
      <w:lvlText w:val=""/>
      <w:lvlJc w:val="left"/>
      <w:pPr>
        <w:tabs>
          <w:tab w:val="num" w:pos="3240"/>
        </w:tabs>
        <w:ind w:left="3240" w:hanging="1080"/>
      </w:pPr>
      <w:rPr>
        <w:rFonts w:hint="eastAsia"/>
      </w:rPr>
    </w:lvl>
    <w:lvl w:ilvl="7">
      <w:start w:val="1"/>
      <w:numFmt w:val="none"/>
      <w:lvlText w:val=""/>
      <w:lvlJc w:val="left"/>
      <w:pPr>
        <w:tabs>
          <w:tab w:val="num" w:pos="3744"/>
        </w:tabs>
        <w:ind w:left="3744" w:hanging="1224"/>
      </w:pPr>
      <w:rPr>
        <w:rFonts w:hint="eastAsia"/>
      </w:rPr>
    </w:lvl>
    <w:lvl w:ilvl="8">
      <w:start w:val="1"/>
      <w:numFmt w:val="none"/>
      <w:lvlText w:val=""/>
      <w:lvlJc w:val="left"/>
      <w:pPr>
        <w:tabs>
          <w:tab w:val="num" w:pos="4320"/>
        </w:tabs>
        <w:ind w:left="4320" w:hanging="1440"/>
      </w:pPr>
      <w:rPr>
        <w:rFonts w:hint="eastAsia"/>
      </w:rPr>
    </w:lvl>
  </w:abstractNum>
  <w:abstractNum w:abstractNumId="9" w15:restartNumberingAfterBreak="0">
    <w:nsid w:val="7E653C3E"/>
    <w:multiLevelType w:val="multilevel"/>
    <w:tmpl w:val="212881BC"/>
    <w:lvl w:ilvl="0">
      <w:start w:val="1"/>
      <w:numFmt w:val="decimal"/>
      <w:lvlText w:val="（%1）"/>
      <w:lvlJc w:val="left"/>
      <w:pPr>
        <w:ind w:left="1779" w:hanging="360"/>
      </w:pPr>
      <w:rPr>
        <w:rFonts w:hint="default"/>
        <w:b w:val="0"/>
        <w:lang w:val="en-US"/>
      </w:rPr>
    </w:lvl>
    <w:lvl w:ilvl="1">
      <w:start w:val="1"/>
      <w:numFmt w:val="lowerLetter"/>
      <w:lvlText w:val="%2."/>
      <w:lvlJc w:val="left"/>
      <w:pPr>
        <w:ind w:left="1920" w:hanging="360"/>
      </w:pPr>
    </w:lvl>
    <w:lvl w:ilvl="2">
      <w:start w:val="1"/>
      <w:numFmt w:val="lowerRoman"/>
      <w:lvlText w:val="%3."/>
      <w:lvlJc w:val="right"/>
      <w:pPr>
        <w:ind w:left="2640" w:hanging="180"/>
      </w:pPr>
    </w:lvl>
    <w:lvl w:ilvl="3">
      <w:start w:val="1"/>
      <w:numFmt w:val="decimal"/>
      <w:lvlText w:val="%4."/>
      <w:lvlJc w:val="left"/>
      <w:pPr>
        <w:ind w:left="3360" w:hanging="360"/>
      </w:pPr>
    </w:lvl>
    <w:lvl w:ilvl="4">
      <w:start w:val="1"/>
      <w:numFmt w:val="lowerLetter"/>
      <w:lvlText w:val="%5."/>
      <w:lvlJc w:val="left"/>
      <w:pPr>
        <w:ind w:left="4080" w:hanging="360"/>
      </w:pPr>
    </w:lvl>
    <w:lvl w:ilvl="5">
      <w:start w:val="1"/>
      <w:numFmt w:val="lowerRoman"/>
      <w:lvlText w:val="%6."/>
      <w:lvlJc w:val="right"/>
      <w:pPr>
        <w:ind w:left="4800" w:hanging="180"/>
      </w:pPr>
    </w:lvl>
    <w:lvl w:ilvl="6">
      <w:start w:val="1"/>
      <w:numFmt w:val="decimal"/>
      <w:lvlText w:val="%7."/>
      <w:lvlJc w:val="left"/>
      <w:pPr>
        <w:ind w:left="5520" w:hanging="360"/>
      </w:pPr>
    </w:lvl>
    <w:lvl w:ilvl="7">
      <w:start w:val="1"/>
      <w:numFmt w:val="lowerLetter"/>
      <w:lvlText w:val="%8."/>
      <w:lvlJc w:val="left"/>
      <w:pPr>
        <w:ind w:left="6240" w:hanging="360"/>
      </w:pPr>
    </w:lvl>
    <w:lvl w:ilvl="8">
      <w:start w:val="1"/>
      <w:numFmt w:val="lowerRoman"/>
      <w:lvlText w:val="%9."/>
      <w:lvlJc w:val="right"/>
      <w:pPr>
        <w:ind w:left="6960" w:hanging="180"/>
      </w:pPr>
    </w:lvl>
  </w:abstractNum>
  <w:abstractNum w:abstractNumId="10" w15:restartNumberingAfterBreak="0">
    <w:nsid w:val="7F3F6C5F"/>
    <w:multiLevelType w:val="multilevel"/>
    <w:tmpl w:val="7F3F6C5F"/>
    <w:lvl w:ilvl="0">
      <w:start w:val="1"/>
      <w:numFmt w:val="chineseCountingThousand"/>
      <w:lvlText w:val="第%1条"/>
      <w:lvlJc w:val="left"/>
      <w:pPr>
        <w:tabs>
          <w:tab w:val="num" w:pos="425"/>
        </w:tabs>
        <w:ind w:left="425" w:hanging="425"/>
      </w:pPr>
      <w:rPr>
        <w:rFonts w:ascii="宋体" w:eastAsia="宋体" w:hAnsi="宋体"/>
        <w:sz w:val="24"/>
        <w:szCs w:val="24"/>
      </w:rPr>
    </w:lvl>
    <w:lvl w:ilvl="1">
      <w:start w:val="1"/>
      <w:numFmt w:val="decimal"/>
      <w:isLgl/>
      <w:lvlText w:val="%1.%2"/>
      <w:lvlJc w:val="left"/>
      <w:pPr>
        <w:tabs>
          <w:tab w:val="num" w:pos="567"/>
        </w:tabs>
        <w:ind w:left="567" w:hanging="567"/>
      </w:pPr>
      <w:rPr>
        <w:rFonts w:cs="Times New Roman" w:hint="eastAsia"/>
        <w:b w:val="0"/>
      </w:rPr>
    </w:lvl>
    <w:lvl w:ilvl="2">
      <w:start w:val="1"/>
      <w:numFmt w:val="decimal"/>
      <w:lvlText w:val="%3）"/>
      <w:lvlJc w:val="left"/>
      <w:pPr>
        <w:tabs>
          <w:tab w:val="num" w:pos="1418"/>
        </w:tabs>
        <w:ind w:left="1418" w:hanging="567"/>
      </w:pPr>
      <w:rPr>
        <w:rFonts w:cs="Times New Roman" w:hint="eastAsia"/>
      </w:rPr>
    </w:lvl>
    <w:lvl w:ilvl="3">
      <w:start w:val="1"/>
      <w:numFmt w:val="decimal"/>
      <w:lvlText w:val="%1.%2.%3.%4"/>
      <w:lvlJc w:val="left"/>
      <w:pPr>
        <w:tabs>
          <w:tab w:val="num" w:pos="1984"/>
        </w:tabs>
        <w:ind w:left="1984" w:hanging="708"/>
      </w:pPr>
      <w:rPr>
        <w:rFonts w:cs="Times New Roman" w:hint="eastAsia"/>
      </w:rPr>
    </w:lvl>
    <w:lvl w:ilvl="4">
      <w:start w:val="1"/>
      <w:numFmt w:val="decimal"/>
      <w:lvlText w:val="%1.%2.%3.%4.%5"/>
      <w:lvlJc w:val="left"/>
      <w:pPr>
        <w:tabs>
          <w:tab w:val="num" w:pos="2551"/>
        </w:tabs>
        <w:ind w:left="2551" w:hanging="850"/>
      </w:pPr>
      <w:rPr>
        <w:rFonts w:cs="Times New Roman" w:hint="eastAsia"/>
      </w:rPr>
    </w:lvl>
    <w:lvl w:ilvl="5">
      <w:start w:val="1"/>
      <w:numFmt w:val="decimal"/>
      <w:lvlText w:val="%1.%2.%3.%4.%5.%6"/>
      <w:lvlJc w:val="left"/>
      <w:pPr>
        <w:tabs>
          <w:tab w:val="num" w:pos="3260"/>
        </w:tabs>
        <w:ind w:left="3260" w:hanging="1134"/>
      </w:pPr>
      <w:rPr>
        <w:rFonts w:cs="Times New Roman" w:hint="eastAsia"/>
      </w:rPr>
    </w:lvl>
    <w:lvl w:ilvl="6">
      <w:start w:val="1"/>
      <w:numFmt w:val="decimal"/>
      <w:lvlText w:val="%1.%2.%3.%4.%5.%6.%7"/>
      <w:lvlJc w:val="left"/>
      <w:pPr>
        <w:tabs>
          <w:tab w:val="num" w:pos="3827"/>
        </w:tabs>
        <w:ind w:left="3827" w:hanging="1276"/>
      </w:pPr>
      <w:rPr>
        <w:rFonts w:cs="Times New Roman" w:hint="eastAsia"/>
      </w:rPr>
    </w:lvl>
    <w:lvl w:ilvl="7">
      <w:start w:val="1"/>
      <w:numFmt w:val="decimal"/>
      <w:lvlText w:val="%1.%2.%3.%4.%5.%6.%7.%8"/>
      <w:lvlJc w:val="left"/>
      <w:pPr>
        <w:tabs>
          <w:tab w:val="num" w:pos="4394"/>
        </w:tabs>
        <w:ind w:left="4394" w:hanging="1418"/>
      </w:pPr>
      <w:rPr>
        <w:rFonts w:cs="Times New Roman" w:hint="eastAsia"/>
      </w:rPr>
    </w:lvl>
    <w:lvl w:ilvl="8">
      <w:start w:val="1"/>
      <w:numFmt w:val="decimal"/>
      <w:lvlText w:val="%1.%2.%3.%4.%5.%6.%7.%8.%9"/>
      <w:lvlJc w:val="left"/>
      <w:pPr>
        <w:tabs>
          <w:tab w:val="num" w:pos="5102"/>
        </w:tabs>
        <w:ind w:left="5102" w:hanging="1700"/>
      </w:pPr>
      <w:rPr>
        <w:rFonts w:cs="Times New Roman" w:hint="eastAsia"/>
      </w:rPr>
    </w:lvl>
  </w:abstractNum>
  <w:num w:numId="1">
    <w:abstractNumId w:val="1"/>
  </w:num>
  <w:num w:numId="2">
    <w:abstractNumId w:val="9"/>
  </w:num>
  <w:num w:numId="3">
    <w:abstractNumId w:val="3"/>
  </w:num>
  <w:num w:numId="4">
    <w:abstractNumId w:val="2"/>
  </w:num>
  <w:num w:numId="5">
    <w:abstractNumId w:val="4"/>
  </w:num>
  <w:num w:numId="6">
    <w:abstractNumId w:val="7"/>
  </w:num>
  <w:num w:numId="7">
    <w:abstractNumId w:val="6"/>
  </w:num>
  <w:num w:numId="8">
    <w:abstractNumId w:val="5"/>
  </w:num>
  <w:num w:numId="9">
    <w:abstractNumId w:val="0"/>
  </w:num>
  <w:num w:numId="10">
    <w:abstractNumId w:val="8"/>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658C"/>
    <w:rsid w:val="000011DA"/>
    <w:rsid w:val="00004702"/>
    <w:rsid w:val="00005076"/>
    <w:rsid w:val="00015216"/>
    <w:rsid w:val="00016D5B"/>
    <w:rsid w:val="000200F9"/>
    <w:rsid w:val="00042D34"/>
    <w:rsid w:val="000479E3"/>
    <w:rsid w:val="00047DE7"/>
    <w:rsid w:val="00053038"/>
    <w:rsid w:val="00062272"/>
    <w:rsid w:val="00067296"/>
    <w:rsid w:val="0007381A"/>
    <w:rsid w:val="00082914"/>
    <w:rsid w:val="000B2143"/>
    <w:rsid w:val="000B4E54"/>
    <w:rsid w:val="000C0E48"/>
    <w:rsid w:val="000C266F"/>
    <w:rsid w:val="000C6987"/>
    <w:rsid w:val="000E374B"/>
    <w:rsid w:val="000F5C8C"/>
    <w:rsid w:val="0011719D"/>
    <w:rsid w:val="001204F2"/>
    <w:rsid w:val="00121C60"/>
    <w:rsid w:val="00122E2F"/>
    <w:rsid w:val="001278F6"/>
    <w:rsid w:val="00127A60"/>
    <w:rsid w:val="001309BB"/>
    <w:rsid w:val="00134AF2"/>
    <w:rsid w:val="00135510"/>
    <w:rsid w:val="00144332"/>
    <w:rsid w:val="00147E38"/>
    <w:rsid w:val="0015258E"/>
    <w:rsid w:val="001644EB"/>
    <w:rsid w:val="001706F1"/>
    <w:rsid w:val="001711E0"/>
    <w:rsid w:val="0017570C"/>
    <w:rsid w:val="00182C57"/>
    <w:rsid w:val="00184187"/>
    <w:rsid w:val="001967D3"/>
    <w:rsid w:val="001B721F"/>
    <w:rsid w:val="001C197B"/>
    <w:rsid w:val="001F777B"/>
    <w:rsid w:val="00222D84"/>
    <w:rsid w:val="002239B6"/>
    <w:rsid w:val="00227534"/>
    <w:rsid w:val="0023275F"/>
    <w:rsid w:val="002434BF"/>
    <w:rsid w:val="00247E0A"/>
    <w:rsid w:val="00267089"/>
    <w:rsid w:val="0026762F"/>
    <w:rsid w:val="00273EC1"/>
    <w:rsid w:val="0029580F"/>
    <w:rsid w:val="002A7451"/>
    <w:rsid w:val="002A7E03"/>
    <w:rsid w:val="002C75C2"/>
    <w:rsid w:val="002D5EF5"/>
    <w:rsid w:val="002E2209"/>
    <w:rsid w:val="002E535A"/>
    <w:rsid w:val="00326A10"/>
    <w:rsid w:val="00327DDF"/>
    <w:rsid w:val="003328B4"/>
    <w:rsid w:val="003359FA"/>
    <w:rsid w:val="00337E7F"/>
    <w:rsid w:val="00344DC1"/>
    <w:rsid w:val="00344F52"/>
    <w:rsid w:val="0035098D"/>
    <w:rsid w:val="00357981"/>
    <w:rsid w:val="00362402"/>
    <w:rsid w:val="003721B9"/>
    <w:rsid w:val="00384864"/>
    <w:rsid w:val="003906CC"/>
    <w:rsid w:val="00392120"/>
    <w:rsid w:val="003A2837"/>
    <w:rsid w:val="003B36F3"/>
    <w:rsid w:val="003F3808"/>
    <w:rsid w:val="00416B31"/>
    <w:rsid w:val="004235CC"/>
    <w:rsid w:val="00435312"/>
    <w:rsid w:val="00451765"/>
    <w:rsid w:val="00451A4B"/>
    <w:rsid w:val="00452062"/>
    <w:rsid w:val="00457CF1"/>
    <w:rsid w:val="004841AB"/>
    <w:rsid w:val="00487327"/>
    <w:rsid w:val="004974CF"/>
    <w:rsid w:val="004B23C1"/>
    <w:rsid w:val="004B288E"/>
    <w:rsid w:val="004B3A55"/>
    <w:rsid w:val="004B3EBA"/>
    <w:rsid w:val="004B6C04"/>
    <w:rsid w:val="004C1F90"/>
    <w:rsid w:val="004E2278"/>
    <w:rsid w:val="004E4855"/>
    <w:rsid w:val="004E60C4"/>
    <w:rsid w:val="004F211E"/>
    <w:rsid w:val="004F6D67"/>
    <w:rsid w:val="004F7C87"/>
    <w:rsid w:val="00511AC3"/>
    <w:rsid w:val="00521C87"/>
    <w:rsid w:val="005229B5"/>
    <w:rsid w:val="005263F6"/>
    <w:rsid w:val="005330A2"/>
    <w:rsid w:val="00537CE2"/>
    <w:rsid w:val="0054285A"/>
    <w:rsid w:val="00546DEE"/>
    <w:rsid w:val="00561663"/>
    <w:rsid w:val="005623B3"/>
    <w:rsid w:val="00570029"/>
    <w:rsid w:val="005704B5"/>
    <w:rsid w:val="00572FA4"/>
    <w:rsid w:val="0058011A"/>
    <w:rsid w:val="0058037D"/>
    <w:rsid w:val="005826EB"/>
    <w:rsid w:val="00586CD7"/>
    <w:rsid w:val="00587472"/>
    <w:rsid w:val="00595D72"/>
    <w:rsid w:val="005A04A8"/>
    <w:rsid w:val="005A29A0"/>
    <w:rsid w:val="005C18FC"/>
    <w:rsid w:val="005C536A"/>
    <w:rsid w:val="005D1A7A"/>
    <w:rsid w:val="005D238E"/>
    <w:rsid w:val="005D33CC"/>
    <w:rsid w:val="005F2187"/>
    <w:rsid w:val="0061003A"/>
    <w:rsid w:val="00623346"/>
    <w:rsid w:val="00625F21"/>
    <w:rsid w:val="00636F2A"/>
    <w:rsid w:val="006448B4"/>
    <w:rsid w:val="00644E9C"/>
    <w:rsid w:val="00666F2F"/>
    <w:rsid w:val="00673652"/>
    <w:rsid w:val="00677695"/>
    <w:rsid w:val="00683D3C"/>
    <w:rsid w:val="0068599F"/>
    <w:rsid w:val="00692621"/>
    <w:rsid w:val="0069529B"/>
    <w:rsid w:val="006960DD"/>
    <w:rsid w:val="006A45FE"/>
    <w:rsid w:val="006B7899"/>
    <w:rsid w:val="006C4B7D"/>
    <w:rsid w:val="006C6E64"/>
    <w:rsid w:val="006D0003"/>
    <w:rsid w:val="006D1157"/>
    <w:rsid w:val="006D6B7D"/>
    <w:rsid w:val="006E27DA"/>
    <w:rsid w:val="006E3384"/>
    <w:rsid w:val="006E55C2"/>
    <w:rsid w:val="0070651F"/>
    <w:rsid w:val="00710904"/>
    <w:rsid w:val="00722DF3"/>
    <w:rsid w:val="00730041"/>
    <w:rsid w:val="00740CB0"/>
    <w:rsid w:val="00741144"/>
    <w:rsid w:val="00750D48"/>
    <w:rsid w:val="007650F1"/>
    <w:rsid w:val="00770776"/>
    <w:rsid w:val="0077148D"/>
    <w:rsid w:val="0077714F"/>
    <w:rsid w:val="00795B3E"/>
    <w:rsid w:val="007B1208"/>
    <w:rsid w:val="007B5E79"/>
    <w:rsid w:val="007C24BF"/>
    <w:rsid w:val="007D1460"/>
    <w:rsid w:val="007E4A80"/>
    <w:rsid w:val="007F3A45"/>
    <w:rsid w:val="007F3A9C"/>
    <w:rsid w:val="00811C97"/>
    <w:rsid w:val="008258AB"/>
    <w:rsid w:val="00863830"/>
    <w:rsid w:val="0087479F"/>
    <w:rsid w:val="00881524"/>
    <w:rsid w:val="008915BC"/>
    <w:rsid w:val="008C4C66"/>
    <w:rsid w:val="008C4D52"/>
    <w:rsid w:val="008D01A8"/>
    <w:rsid w:val="008D0C27"/>
    <w:rsid w:val="008D32BB"/>
    <w:rsid w:val="009066D1"/>
    <w:rsid w:val="0091602F"/>
    <w:rsid w:val="009212F9"/>
    <w:rsid w:val="00921946"/>
    <w:rsid w:val="00931BFB"/>
    <w:rsid w:val="00935AD9"/>
    <w:rsid w:val="00944FF3"/>
    <w:rsid w:val="00952C9C"/>
    <w:rsid w:val="00962460"/>
    <w:rsid w:val="00974F78"/>
    <w:rsid w:val="00987E0E"/>
    <w:rsid w:val="009962FD"/>
    <w:rsid w:val="0099797C"/>
    <w:rsid w:val="009B2798"/>
    <w:rsid w:val="009B4399"/>
    <w:rsid w:val="009D2E1C"/>
    <w:rsid w:val="009E7387"/>
    <w:rsid w:val="009F0DC3"/>
    <w:rsid w:val="00A06139"/>
    <w:rsid w:val="00A13F1F"/>
    <w:rsid w:val="00A21864"/>
    <w:rsid w:val="00A3467F"/>
    <w:rsid w:val="00A4410D"/>
    <w:rsid w:val="00A444B2"/>
    <w:rsid w:val="00A579C2"/>
    <w:rsid w:val="00A64149"/>
    <w:rsid w:val="00A679D3"/>
    <w:rsid w:val="00A9606A"/>
    <w:rsid w:val="00AB1C1D"/>
    <w:rsid w:val="00AB35A9"/>
    <w:rsid w:val="00AE1EBC"/>
    <w:rsid w:val="00AE6ED9"/>
    <w:rsid w:val="00AF0F82"/>
    <w:rsid w:val="00B1083C"/>
    <w:rsid w:val="00B149C3"/>
    <w:rsid w:val="00B14C17"/>
    <w:rsid w:val="00B22B99"/>
    <w:rsid w:val="00B43AD1"/>
    <w:rsid w:val="00B6146D"/>
    <w:rsid w:val="00B673F5"/>
    <w:rsid w:val="00B85342"/>
    <w:rsid w:val="00B910A7"/>
    <w:rsid w:val="00B93444"/>
    <w:rsid w:val="00B967AA"/>
    <w:rsid w:val="00BA313B"/>
    <w:rsid w:val="00BB18A3"/>
    <w:rsid w:val="00BC242C"/>
    <w:rsid w:val="00BC380C"/>
    <w:rsid w:val="00BC6E4D"/>
    <w:rsid w:val="00BD25FF"/>
    <w:rsid w:val="00BD3335"/>
    <w:rsid w:val="00BD3BC5"/>
    <w:rsid w:val="00BE2832"/>
    <w:rsid w:val="00C0176F"/>
    <w:rsid w:val="00C02690"/>
    <w:rsid w:val="00C036F6"/>
    <w:rsid w:val="00C040B1"/>
    <w:rsid w:val="00C05A35"/>
    <w:rsid w:val="00C242C3"/>
    <w:rsid w:val="00C444CC"/>
    <w:rsid w:val="00C455FF"/>
    <w:rsid w:val="00C46D6C"/>
    <w:rsid w:val="00C54EA5"/>
    <w:rsid w:val="00C5658C"/>
    <w:rsid w:val="00C73DA2"/>
    <w:rsid w:val="00C77C20"/>
    <w:rsid w:val="00C80058"/>
    <w:rsid w:val="00C8718E"/>
    <w:rsid w:val="00C962B7"/>
    <w:rsid w:val="00CA2233"/>
    <w:rsid w:val="00CA2527"/>
    <w:rsid w:val="00CB231F"/>
    <w:rsid w:val="00CD2C31"/>
    <w:rsid w:val="00CE3B66"/>
    <w:rsid w:val="00CF6363"/>
    <w:rsid w:val="00CF723C"/>
    <w:rsid w:val="00D01D76"/>
    <w:rsid w:val="00D06DD4"/>
    <w:rsid w:val="00D072A4"/>
    <w:rsid w:val="00D24D72"/>
    <w:rsid w:val="00D24E9C"/>
    <w:rsid w:val="00D2500E"/>
    <w:rsid w:val="00D35AB7"/>
    <w:rsid w:val="00D366B6"/>
    <w:rsid w:val="00D36DEC"/>
    <w:rsid w:val="00D37125"/>
    <w:rsid w:val="00D41A1C"/>
    <w:rsid w:val="00D429CB"/>
    <w:rsid w:val="00D8328C"/>
    <w:rsid w:val="00D91CB5"/>
    <w:rsid w:val="00D931D9"/>
    <w:rsid w:val="00D95FB8"/>
    <w:rsid w:val="00DB23CC"/>
    <w:rsid w:val="00DC24E6"/>
    <w:rsid w:val="00DC2CBC"/>
    <w:rsid w:val="00DD1778"/>
    <w:rsid w:val="00DD2068"/>
    <w:rsid w:val="00DE1970"/>
    <w:rsid w:val="00DF12C1"/>
    <w:rsid w:val="00DF48DC"/>
    <w:rsid w:val="00E37289"/>
    <w:rsid w:val="00E423B0"/>
    <w:rsid w:val="00E47606"/>
    <w:rsid w:val="00E56954"/>
    <w:rsid w:val="00E708C7"/>
    <w:rsid w:val="00E7419E"/>
    <w:rsid w:val="00E8588B"/>
    <w:rsid w:val="00E95BD9"/>
    <w:rsid w:val="00EC6B0C"/>
    <w:rsid w:val="00ED1C9B"/>
    <w:rsid w:val="00EF58BC"/>
    <w:rsid w:val="00F0080D"/>
    <w:rsid w:val="00F04E63"/>
    <w:rsid w:val="00F07D04"/>
    <w:rsid w:val="00F23F7B"/>
    <w:rsid w:val="00F30DB3"/>
    <w:rsid w:val="00F33220"/>
    <w:rsid w:val="00F34F2B"/>
    <w:rsid w:val="00F44830"/>
    <w:rsid w:val="00F462E9"/>
    <w:rsid w:val="00F56F39"/>
    <w:rsid w:val="00F60AEA"/>
    <w:rsid w:val="00F66EC3"/>
    <w:rsid w:val="00F9486C"/>
    <w:rsid w:val="00FA76E5"/>
    <w:rsid w:val="00FA7C4E"/>
    <w:rsid w:val="00FB4308"/>
    <w:rsid w:val="00FC0C98"/>
    <w:rsid w:val="00FC19E2"/>
    <w:rsid w:val="00FD3226"/>
    <w:rsid w:val="00FE063C"/>
    <w:rsid w:val="00FE4557"/>
    <w:rsid w:val="00FE4D82"/>
    <w:rsid w:val="00FF68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CEF124"/>
  <w15:docId w15:val="{A06B51BE-E929-463D-8146-F93643405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658C"/>
    <w:pPr>
      <w:widowControl w:val="0"/>
      <w:jc w:val="both"/>
    </w:pPr>
    <w:rPr>
      <w:rFonts w:ascii="Times New Roman" w:eastAsia="宋体" w:hAnsi="Times New Roman" w:cs="Times New Roman"/>
      <w:szCs w:val="24"/>
    </w:rPr>
  </w:style>
  <w:style w:type="paragraph" w:styleId="1">
    <w:name w:val="heading 1"/>
    <w:basedOn w:val="a"/>
    <w:next w:val="2"/>
    <w:link w:val="10"/>
    <w:qFormat/>
    <w:rsid w:val="00730041"/>
    <w:pPr>
      <w:keepNext/>
      <w:tabs>
        <w:tab w:val="left" w:pos="1021"/>
      </w:tabs>
      <w:autoSpaceDE w:val="0"/>
      <w:autoSpaceDN w:val="0"/>
      <w:adjustRightInd w:val="0"/>
      <w:snapToGrid w:val="0"/>
      <w:spacing w:beforeLines="200" w:afterLines="200" w:line="288" w:lineRule="auto"/>
      <w:ind w:left="1021" w:hanging="1021"/>
      <w:outlineLvl w:val="0"/>
    </w:pPr>
    <w:rPr>
      <w:b/>
      <w:bCs/>
      <w:kern w:val="52"/>
      <w:sz w:val="24"/>
      <w:szCs w:val="28"/>
      <w:lang w:eastAsia="zh-TW"/>
    </w:rPr>
  </w:style>
  <w:style w:type="paragraph" w:styleId="2">
    <w:name w:val="heading 2"/>
    <w:basedOn w:val="a"/>
    <w:next w:val="a"/>
    <w:link w:val="20"/>
    <w:uiPriority w:val="9"/>
    <w:semiHidden/>
    <w:unhideWhenUsed/>
    <w:qFormat/>
    <w:rsid w:val="00730041"/>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4">
    <w:name w:val="heading 4"/>
    <w:basedOn w:val="a"/>
    <w:next w:val="a"/>
    <w:link w:val="40"/>
    <w:uiPriority w:val="9"/>
    <w:semiHidden/>
    <w:unhideWhenUsed/>
    <w:qFormat/>
    <w:rsid w:val="002C75C2"/>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5658C"/>
    <w:pPr>
      <w:widowControl w:val="0"/>
      <w:autoSpaceDE w:val="0"/>
      <w:autoSpaceDN w:val="0"/>
      <w:adjustRightInd w:val="0"/>
    </w:pPr>
    <w:rPr>
      <w:rFonts w:ascii="KaiTi" w:eastAsia="KaiTi" w:cs="KaiTi"/>
      <w:color w:val="000000"/>
      <w:kern w:val="0"/>
      <w:sz w:val="24"/>
      <w:szCs w:val="24"/>
    </w:rPr>
  </w:style>
  <w:style w:type="paragraph" w:styleId="a3">
    <w:name w:val="List Paragraph"/>
    <w:basedOn w:val="a"/>
    <w:uiPriority w:val="99"/>
    <w:qFormat/>
    <w:rsid w:val="004F6D67"/>
    <w:pPr>
      <w:ind w:firstLineChars="200" w:firstLine="420"/>
    </w:pPr>
    <w:rPr>
      <w:rFonts w:ascii="Calibri" w:hAnsi="Calibri"/>
      <w:szCs w:val="22"/>
    </w:rPr>
  </w:style>
  <w:style w:type="paragraph" w:styleId="a4">
    <w:name w:val="Balloon Text"/>
    <w:basedOn w:val="a"/>
    <w:link w:val="a5"/>
    <w:uiPriority w:val="99"/>
    <w:semiHidden/>
    <w:unhideWhenUsed/>
    <w:rsid w:val="00B910A7"/>
    <w:rPr>
      <w:sz w:val="18"/>
      <w:szCs w:val="18"/>
    </w:rPr>
  </w:style>
  <w:style w:type="character" w:customStyle="1" w:styleId="a5">
    <w:name w:val="批注框文本 字符"/>
    <w:basedOn w:val="a0"/>
    <w:link w:val="a4"/>
    <w:uiPriority w:val="99"/>
    <w:semiHidden/>
    <w:rsid w:val="00B910A7"/>
    <w:rPr>
      <w:rFonts w:ascii="Times New Roman" w:eastAsia="宋体" w:hAnsi="Times New Roman" w:cs="Times New Roman"/>
      <w:sz w:val="18"/>
      <w:szCs w:val="18"/>
    </w:rPr>
  </w:style>
  <w:style w:type="paragraph" w:styleId="a6">
    <w:name w:val="header"/>
    <w:basedOn w:val="a"/>
    <w:link w:val="a7"/>
    <w:uiPriority w:val="99"/>
    <w:unhideWhenUsed/>
    <w:rsid w:val="0015258E"/>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15258E"/>
    <w:rPr>
      <w:rFonts w:ascii="Times New Roman" w:eastAsia="宋体" w:hAnsi="Times New Roman" w:cs="Times New Roman"/>
      <w:sz w:val="18"/>
      <w:szCs w:val="18"/>
    </w:rPr>
  </w:style>
  <w:style w:type="paragraph" w:styleId="a8">
    <w:name w:val="footer"/>
    <w:basedOn w:val="a"/>
    <w:link w:val="a9"/>
    <w:uiPriority w:val="99"/>
    <w:unhideWhenUsed/>
    <w:rsid w:val="0015258E"/>
    <w:pPr>
      <w:tabs>
        <w:tab w:val="center" w:pos="4153"/>
        <w:tab w:val="right" w:pos="8306"/>
      </w:tabs>
      <w:snapToGrid w:val="0"/>
      <w:jc w:val="left"/>
    </w:pPr>
    <w:rPr>
      <w:sz w:val="18"/>
      <w:szCs w:val="18"/>
    </w:rPr>
  </w:style>
  <w:style w:type="character" w:customStyle="1" w:styleId="a9">
    <w:name w:val="页脚 字符"/>
    <w:basedOn w:val="a0"/>
    <w:link w:val="a8"/>
    <w:uiPriority w:val="99"/>
    <w:rsid w:val="0015258E"/>
    <w:rPr>
      <w:rFonts w:ascii="Times New Roman" w:eastAsia="宋体" w:hAnsi="Times New Roman" w:cs="Times New Roman"/>
      <w:sz w:val="18"/>
      <w:szCs w:val="18"/>
    </w:rPr>
  </w:style>
  <w:style w:type="table" w:styleId="aa">
    <w:name w:val="Table Grid"/>
    <w:basedOn w:val="a1"/>
    <w:uiPriority w:val="59"/>
    <w:rsid w:val="00EF58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1CharChar">
    <w:name w:val="Body Text 1 Char Char"/>
    <w:link w:val="BodyText1"/>
    <w:rsid w:val="008C4C66"/>
    <w:rPr>
      <w:bCs/>
      <w:snapToGrid w:val="0"/>
      <w:sz w:val="24"/>
      <w:szCs w:val="24"/>
    </w:rPr>
  </w:style>
  <w:style w:type="paragraph" w:customStyle="1" w:styleId="BodyText1">
    <w:name w:val="Body Text 1"/>
    <w:basedOn w:val="a"/>
    <w:link w:val="BodyText1CharChar"/>
    <w:rsid w:val="008C4C66"/>
    <w:pPr>
      <w:spacing w:beforeLines="100" w:afterLines="100" w:line="300" w:lineRule="auto"/>
      <w:ind w:leftChars="212" w:left="445" w:firstLine="1"/>
    </w:pPr>
    <w:rPr>
      <w:rFonts w:asciiTheme="minorHAnsi" w:eastAsiaTheme="minorEastAsia" w:hAnsiTheme="minorHAnsi" w:cstheme="minorBidi"/>
      <w:bCs/>
      <w:snapToGrid w:val="0"/>
      <w:sz w:val="24"/>
    </w:rPr>
  </w:style>
  <w:style w:type="character" w:styleId="ab">
    <w:name w:val="Hyperlink"/>
    <w:basedOn w:val="a0"/>
    <w:uiPriority w:val="99"/>
    <w:semiHidden/>
    <w:unhideWhenUsed/>
    <w:rsid w:val="00E37289"/>
    <w:rPr>
      <w:color w:val="0000FF"/>
      <w:u w:val="single"/>
    </w:rPr>
  </w:style>
  <w:style w:type="paragraph" w:styleId="ac">
    <w:name w:val="Normal (Web)"/>
    <w:basedOn w:val="a"/>
    <w:uiPriority w:val="99"/>
    <w:unhideWhenUsed/>
    <w:rsid w:val="00AE6ED9"/>
    <w:pPr>
      <w:widowControl/>
      <w:spacing w:before="100" w:beforeAutospacing="1" w:after="100" w:afterAutospacing="1"/>
      <w:jc w:val="left"/>
    </w:pPr>
    <w:rPr>
      <w:rFonts w:ascii="宋体" w:hAnsi="宋体" w:cs="宋体"/>
      <w:kern w:val="0"/>
      <w:sz w:val="24"/>
    </w:rPr>
  </w:style>
  <w:style w:type="character" w:customStyle="1" w:styleId="10">
    <w:name w:val="标题 1 字符"/>
    <w:basedOn w:val="a0"/>
    <w:link w:val="1"/>
    <w:rsid w:val="00730041"/>
    <w:rPr>
      <w:rFonts w:ascii="Times New Roman" w:eastAsia="宋体" w:hAnsi="Times New Roman" w:cs="Times New Roman"/>
      <w:b/>
      <w:bCs/>
      <w:kern w:val="52"/>
      <w:sz w:val="24"/>
      <w:szCs w:val="28"/>
      <w:lang w:val="en-US" w:eastAsia="zh-TW"/>
    </w:rPr>
  </w:style>
  <w:style w:type="character" w:customStyle="1" w:styleId="20">
    <w:name w:val="标题 2 字符"/>
    <w:basedOn w:val="a0"/>
    <w:link w:val="2"/>
    <w:uiPriority w:val="9"/>
    <w:semiHidden/>
    <w:rsid w:val="00730041"/>
    <w:rPr>
      <w:rFonts w:asciiTheme="majorHAnsi" w:eastAsiaTheme="majorEastAsia" w:hAnsiTheme="majorHAnsi" w:cstheme="majorBidi"/>
      <w:b/>
      <w:bCs/>
      <w:sz w:val="32"/>
      <w:szCs w:val="32"/>
    </w:rPr>
  </w:style>
  <w:style w:type="character" w:styleId="ad">
    <w:name w:val="annotation reference"/>
    <w:basedOn w:val="a0"/>
    <w:uiPriority w:val="99"/>
    <w:semiHidden/>
    <w:unhideWhenUsed/>
    <w:rsid w:val="00586CD7"/>
    <w:rPr>
      <w:sz w:val="21"/>
      <w:szCs w:val="21"/>
    </w:rPr>
  </w:style>
  <w:style w:type="paragraph" w:styleId="ae">
    <w:name w:val="annotation text"/>
    <w:basedOn w:val="a"/>
    <w:link w:val="af"/>
    <w:uiPriority w:val="99"/>
    <w:semiHidden/>
    <w:unhideWhenUsed/>
    <w:rsid w:val="00586CD7"/>
    <w:pPr>
      <w:jc w:val="left"/>
    </w:pPr>
  </w:style>
  <w:style w:type="character" w:customStyle="1" w:styleId="af">
    <w:name w:val="批注文字 字符"/>
    <w:basedOn w:val="a0"/>
    <w:link w:val="ae"/>
    <w:uiPriority w:val="99"/>
    <w:semiHidden/>
    <w:rsid w:val="00586CD7"/>
    <w:rPr>
      <w:rFonts w:ascii="Times New Roman" w:eastAsia="宋体" w:hAnsi="Times New Roman" w:cs="Times New Roman"/>
      <w:szCs w:val="24"/>
    </w:rPr>
  </w:style>
  <w:style w:type="paragraph" w:styleId="af0">
    <w:name w:val="annotation subject"/>
    <w:basedOn w:val="ae"/>
    <w:next w:val="ae"/>
    <w:link w:val="af1"/>
    <w:uiPriority w:val="99"/>
    <w:semiHidden/>
    <w:unhideWhenUsed/>
    <w:rsid w:val="00586CD7"/>
    <w:rPr>
      <w:b/>
      <w:bCs/>
    </w:rPr>
  </w:style>
  <w:style w:type="character" w:customStyle="1" w:styleId="af1">
    <w:name w:val="批注主题 字符"/>
    <w:basedOn w:val="af"/>
    <w:link w:val="af0"/>
    <w:uiPriority w:val="99"/>
    <w:semiHidden/>
    <w:rsid w:val="00586CD7"/>
    <w:rPr>
      <w:rFonts w:ascii="Times New Roman" w:eastAsia="宋体" w:hAnsi="Times New Roman" w:cs="Times New Roman"/>
      <w:b/>
      <w:bCs/>
      <w:szCs w:val="24"/>
    </w:rPr>
  </w:style>
  <w:style w:type="character" w:styleId="af2">
    <w:name w:val="Emphasis"/>
    <w:basedOn w:val="a0"/>
    <w:uiPriority w:val="20"/>
    <w:qFormat/>
    <w:rsid w:val="00BD25FF"/>
    <w:rPr>
      <w:i/>
      <w:iCs/>
    </w:rPr>
  </w:style>
  <w:style w:type="character" w:customStyle="1" w:styleId="40">
    <w:name w:val="标题 4 字符"/>
    <w:basedOn w:val="a0"/>
    <w:link w:val="4"/>
    <w:uiPriority w:val="9"/>
    <w:semiHidden/>
    <w:rsid w:val="002C75C2"/>
    <w:rPr>
      <w:rFonts w:asciiTheme="majorHAnsi" w:eastAsiaTheme="majorEastAsia" w:hAnsiTheme="majorHAnsi" w:cstheme="majorBidi"/>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935837">
      <w:bodyDiv w:val="1"/>
      <w:marLeft w:val="0"/>
      <w:marRight w:val="0"/>
      <w:marTop w:val="0"/>
      <w:marBottom w:val="0"/>
      <w:divBdr>
        <w:top w:val="none" w:sz="0" w:space="0" w:color="auto"/>
        <w:left w:val="none" w:sz="0" w:space="0" w:color="auto"/>
        <w:bottom w:val="none" w:sz="0" w:space="0" w:color="auto"/>
        <w:right w:val="none" w:sz="0" w:space="0" w:color="auto"/>
      </w:divBdr>
    </w:div>
    <w:div w:id="960918813">
      <w:bodyDiv w:val="1"/>
      <w:marLeft w:val="0"/>
      <w:marRight w:val="0"/>
      <w:marTop w:val="0"/>
      <w:marBottom w:val="0"/>
      <w:divBdr>
        <w:top w:val="none" w:sz="0" w:space="0" w:color="auto"/>
        <w:left w:val="none" w:sz="0" w:space="0" w:color="auto"/>
        <w:bottom w:val="none" w:sz="0" w:space="0" w:color="auto"/>
        <w:right w:val="none" w:sz="0" w:space="0" w:color="auto"/>
      </w:divBdr>
    </w:div>
    <w:div w:id="1214199089">
      <w:bodyDiv w:val="1"/>
      <w:marLeft w:val="0"/>
      <w:marRight w:val="0"/>
      <w:marTop w:val="0"/>
      <w:marBottom w:val="0"/>
      <w:divBdr>
        <w:top w:val="none" w:sz="0" w:space="0" w:color="auto"/>
        <w:left w:val="none" w:sz="0" w:space="0" w:color="auto"/>
        <w:bottom w:val="none" w:sz="0" w:space="0" w:color="auto"/>
        <w:right w:val="none" w:sz="0" w:space="0" w:color="auto"/>
      </w:divBdr>
    </w:div>
    <w:div w:id="1418942849">
      <w:bodyDiv w:val="1"/>
      <w:marLeft w:val="0"/>
      <w:marRight w:val="0"/>
      <w:marTop w:val="0"/>
      <w:marBottom w:val="0"/>
      <w:divBdr>
        <w:top w:val="none" w:sz="0" w:space="0" w:color="auto"/>
        <w:left w:val="none" w:sz="0" w:space="0" w:color="auto"/>
        <w:bottom w:val="none" w:sz="0" w:space="0" w:color="auto"/>
        <w:right w:val="none" w:sz="0" w:space="0" w:color="auto"/>
      </w:divBdr>
    </w:div>
    <w:div w:id="2126148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122.96.62.234/Wind.WFC.Enterprise.Web/PC.Front/Company/Person.html?id=5CC922703463EE3EBECB73E90D93DFFF&amp;name=%E5%91%A8%E7%82%9C%E5%B9%B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3</Pages>
  <Words>306</Words>
  <Characters>1748</Characters>
  <Application>Microsoft Office Word</Application>
  <DocSecurity>0</DocSecurity>
  <Lines>14</Lines>
  <Paragraphs>4</Paragraphs>
  <ScaleCrop>false</ScaleCrop>
  <Company>Lenovo</Company>
  <LinksUpToDate>false</LinksUpToDate>
  <CharactersWithSpaces>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顾永康</dc:creator>
  <cp:lastModifiedBy>顾永康</cp:lastModifiedBy>
  <cp:revision>32</cp:revision>
  <dcterms:created xsi:type="dcterms:W3CDTF">2020-07-13T03:21:00Z</dcterms:created>
  <dcterms:modified xsi:type="dcterms:W3CDTF">2020-07-14T07:27:00Z</dcterms:modified>
</cp:coreProperties>
</file>